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23065">
      <w:pPr>
        <w:spacing w:before="480" w:after="480" w:line="288" w:lineRule="auto"/>
        <w:ind w:left="0"/>
      </w:pPr>
      <w:r>
        <w:rPr>
          <w:rFonts w:ascii="Arial" w:hAnsi="Arial" w:eastAsia="等线" w:cs="Arial"/>
          <w:b/>
          <w:sz w:val="52"/>
        </w:rPr>
        <w:t>ChainCore (CCR) — The Decentralized Ecological Cornerstone of Blockchain and Smart Contracts</w:t>
      </w:r>
    </w:p>
    <w:p w14:paraId="6631515A">
      <w:pPr>
        <w:spacing w:before="320" w:after="120" w:line="288" w:lineRule="auto"/>
        <w:ind w:left="0"/>
        <w:jc w:val="left"/>
        <w:outlineLvl w:val="1"/>
      </w:pPr>
      <w:bookmarkStart w:id="0" w:name="heading_0"/>
      <w:r>
        <w:rPr>
          <w:rFonts w:ascii="Arial" w:hAnsi="Arial" w:eastAsia="等线" w:cs="Arial"/>
          <w:b/>
          <w:sz w:val="32"/>
        </w:rPr>
        <w:t>Abstract</w:t>
      </w:r>
      <w:bookmarkEnd w:id="0"/>
    </w:p>
    <w:p w14:paraId="09652C4A">
      <w:pPr>
        <w:spacing w:before="120" w:after="120" w:line="288" w:lineRule="auto"/>
        <w:ind w:left="0"/>
        <w:jc w:val="left"/>
      </w:pPr>
      <w:r>
        <w:rPr>
          <w:rFonts w:ascii="Arial" w:hAnsi="Arial" w:eastAsia="等线" w:cs="Arial"/>
          <w:sz w:val="22"/>
        </w:rPr>
        <w:t>Blockchain technology, with its core characteristics of decentralization, immutability, and full-process traceability, has broken the shackles of traditional centralized trust systems and become the underlying trust infrastructure in the digital economy era. As a core extension of blockchain technology, smart contracts realize transaction automation and precise rights and interests distribution through coded logic, completely reshaping the cross-entity collaboration model. ChainCore (CCR for short), as a native cryptocurrency empowering the global blockchain and smart contract ecosystem, relies on underlying technological innovation and ecological layout to address core industry pain points such as performance bottlenecks, insufficient interoperability, security risks, and difficulty in compliance adaptation. It constructs a trinity decentralized ecological system of "technical underlying layer — scenario adaptation — ecological collaboration". This whitepaper systematically elaborates on CCR's technical architecture, economic model, core application scenarios, and compliance governance framework, aiming to promote the large-scale implementation of blockchain and smart contract technologies and provide safe, efficient, and scalable decentralized solutions for the digital transformation of various industries.</w:t>
      </w:r>
    </w:p>
    <w:p w14:paraId="50707B80">
      <w:pPr>
        <w:spacing w:before="320" w:after="120" w:line="288" w:lineRule="auto"/>
        <w:ind w:left="0"/>
        <w:jc w:val="left"/>
        <w:outlineLvl w:val="1"/>
      </w:pPr>
      <w:bookmarkStart w:id="1" w:name="heading_1"/>
      <w:r>
        <w:rPr>
          <w:rFonts w:ascii="Arial" w:hAnsi="Arial" w:eastAsia="等线" w:cs="Arial"/>
          <w:b/>
          <w:sz w:val="32"/>
        </w:rPr>
        <w:t>1. Project Background and Industry Vision</w:t>
      </w:r>
      <w:bookmarkEnd w:id="1"/>
    </w:p>
    <w:p w14:paraId="42FF3EB8">
      <w:pPr>
        <w:spacing w:before="300" w:after="120" w:line="288" w:lineRule="auto"/>
        <w:ind w:left="0"/>
        <w:jc w:val="left"/>
        <w:outlineLvl w:val="2"/>
      </w:pPr>
      <w:bookmarkStart w:id="2" w:name="heading_2"/>
      <w:r>
        <w:rPr>
          <w:rFonts w:ascii="Arial" w:hAnsi="Arial" w:eastAsia="等线" w:cs="Arial"/>
          <w:b/>
          <w:sz w:val="30"/>
        </w:rPr>
        <w:t>1.1 Current Development Status of the Blockchain and Smart Contract Industry</w:t>
      </w:r>
      <w:bookmarkEnd w:id="2"/>
    </w:p>
    <w:p w14:paraId="60A4FB05">
      <w:pPr>
        <w:spacing w:before="120" w:after="120" w:line="288" w:lineRule="auto"/>
        <w:ind w:left="0"/>
        <w:jc w:val="left"/>
      </w:pPr>
      <w:r>
        <w:rPr>
          <w:rFonts w:ascii="Arial" w:hAnsi="Arial" w:eastAsia="等线" w:cs="Arial"/>
          <w:sz w:val="22"/>
        </w:rPr>
        <w:t>Since the birth of Bitcoin, blockchain technology has undergone more than ten years of iteration, evolving from a single underlying support for digital currencies to a general technology system applicable in multiple fields. From Ethereum's first introduction of smart contracts into the blockchain ecosystem to the pilot application of Distributed Ledger Technology (DLT) in finance, government affairs, supply chains, and other fields, blockchain and smart contracts are gradually realizing the leap from "proof of concept" to "value implementation". According to industry research data, the global blockchain market size exceeded 300 billion US dollars in 2025, with smart contract application scenarios accounting for over 60%. Among them, landing cases in fintech, supply chain management, digital copyright, and other fields are growing the fastest.</w:t>
      </w:r>
    </w:p>
    <w:p w14:paraId="5EE51E5E">
      <w:pPr>
        <w:spacing w:before="120" w:after="120" w:line="288" w:lineRule="auto"/>
        <w:ind w:left="0"/>
        <w:jc w:val="left"/>
      </w:pPr>
      <w:r>
        <w:rPr>
          <w:rFonts w:ascii="Arial" w:hAnsi="Arial" w:eastAsia="等线" w:cs="Arial"/>
          <w:sz w:val="22"/>
        </w:rPr>
        <w:t>Currently, the blockchain technology has formed a pattern of coordinated development of public chains, consortium chains, and private chains. Smart contracts have also expanded from a single Solidity language ecosystem to a multi-language, high-security, and upgradeable technical system. However, with the continuous enrichment of application scenarios, the large-scale development of the industry still faces multiple constraints: first, the contradiction between performance and decentralization. Most public chains struggle to balance high throughput and distributed characteristics, failing to meet the needs of large-scale commercial scenarios; second, insufficient cross-chain interoperability, which hinders data and asset circulation between different blockchain networks, forming "on-chain silos"; third, prominent security risks of smart contracts, such as frequent code vulnerabilities and logical flaws, leading to asset losses and trust crises; fourth, imperfect compliance governance systems, with significant differences in regulatory policies among different countries and regions, restricting the global layout of the ecosystem; fifth, high application landing thresholds, including high costs for technology development, scenario adaptation, and operation and maintenance, making it difficult for small and medium-sized enterprises to access quickly.</w:t>
      </w:r>
    </w:p>
    <w:p w14:paraId="37264C40">
      <w:pPr>
        <w:spacing w:before="300" w:after="120" w:line="288" w:lineRule="auto"/>
        <w:ind w:left="0"/>
        <w:jc w:val="left"/>
        <w:outlineLvl w:val="2"/>
      </w:pPr>
      <w:bookmarkStart w:id="3" w:name="heading_3"/>
      <w:r>
        <w:rPr>
          <w:rFonts w:ascii="Arial" w:hAnsi="Arial" w:eastAsia="等线" w:cs="Arial"/>
          <w:b/>
          <w:sz w:val="30"/>
        </w:rPr>
        <w:t>1.2 Core Vision of ChainCore (CCR)</w:t>
      </w:r>
      <w:bookmarkEnd w:id="3"/>
    </w:p>
    <w:p w14:paraId="59EEC582">
      <w:pPr>
        <w:spacing w:before="120" w:after="120" w:line="288" w:lineRule="auto"/>
        <w:ind w:left="0"/>
        <w:jc w:val="left"/>
      </w:pPr>
      <w:r>
        <w:rPr>
          <w:rFonts w:ascii="Arial" w:hAnsi="Arial" w:eastAsia="等线" w:cs="Arial"/>
          <w:sz w:val="22"/>
        </w:rPr>
        <w:t>With the core vision of "building a trusted, highly available, and widely adaptable blockchain and smart contract ecological infrastructure", ChainCore (CCR) aims to achieve three core goals through technological innovation and ecological collaboration:</w:t>
      </w:r>
    </w:p>
    <w:p w14:paraId="00D6BDDD">
      <w:pPr>
        <w:numPr>
          <w:ilvl w:val="0"/>
          <w:numId w:val="1"/>
        </w:numPr>
        <w:spacing w:before="120" w:after="120" w:line="288" w:lineRule="auto"/>
        <w:ind w:left="0"/>
        <w:jc w:val="left"/>
      </w:pPr>
      <w:r>
        <w:rPr>
          <w:rFonts w:ascii="Arial" w:hAnsi="Arial" w:eastAsia="等线" w:cs="Arial"/>
          <w:sz w:val="22"/>
        </w:rPr>
        <w:t>Technological breakthrough: Resolve the core contradiction between performance and decentralization, construct a high-throughput, low-latency, and high-security underlying blockchain architecture, while improving the compatibility, scalability, and security of smart contracts;</w:t>
      </w:r>
    </w:p>
    <w:p w14:paraId="716A80D2">
      <w:pPr>
        <w:numPr>
          <w:ilvl w:val="0"/>
          <w:numId w:val="2"/>
        </w:numPr>
        <w:spacing w:before="120" w:after="120" w:line="288" w:lineRule="auto"/>
        <w:ind w:left="0"/>
        <w:jc w:val="left"/>
      </w:pPr>
      <w:r>
        <w:rPr>
          <w:rFonts w:ascii="Arial" w:hAnsi="Arial" w:eastAsia="等线" w:cs="Arial"/>
          <w:sz w:val="22"/>
        </w:rPr>
        <w:t>Ecological empowerment: Build a cross-chain collaboration platform and a smart contract template library, reduce the threshold for application landing in various industries, and promote the large-scale application of blockchain and smart contract technologies in finance, government affairs, supply chains, digital economy, and other fields;</w:t>
      </w:r>
    </w:p>
    <w:p w14:paraId="7136BA4C">
      <w:pPr>
        <w:numPr>
          <w:ilvl w:val="0"/>
          <w:numId w:val="3"/>
        </w:numPr>
        <w:spacing w:before="120" w:after="120" w:line="288" w:lineRule="auto"/>
        <w:ind w:left="0"/>
        <w:jc w:val="left"/>
      </w:pPr>
      <w:r>
        <w:rPr>
          <w:rFonts w:ascii="Arial" w:hAnsi="Arial" w:eastAsia="等线" w:cs="Arial"/>
          <w:sz w:val="22"/>
        </w:rPr>
        <w:t>Compliance collaboration: Establish a global compliance governance framework, adapt to regulatory policies in different regions, achieve a balance between technological innovation and compliant development, and build an open, inclusive, and sustainable decentralized ecosystem.</w:t>
      </w:r>
    </w:p>
    <w:p w14:paraId="36B80B3F">
      <w:pPr>
        <w:spacing w:before="320" w:after="120" w:line="288" w:lineRule="auto"/>
        <w:ind w:left="0"/>
        <w:jc w:val="left"/>
        <w:outlineLvl w:val="1"/>
      </w:pPr>
      <w:bookmarkStart w:id="4" w:name="heading_4"/>
      <w:r>
        <w:rPr>
          <w:rFonts w:ascii="Arial" w:hAnsi="Arial" w:eastAsia="等线" w:cs="Arial"/>
          <w:b/>
          <w:sz w:val="32"/>
        </w:rPr>
        <w:t>2. Core Technical Architecture</w:t>
      </w:r>
      <w:bookmarkEnd w:id="4"/>
    </w:p>
    <w:p w14:paraId="4A9D4A91">
      <w:pPr>
        <w:spacing w:before="120" w:after="120" w:line="288" w:lineRule="auto"/>
        <w:ind w:left="0"/>
        <w:jc w:val="left"/>
      </w:pPr>
      <w:r>
        <w:rPr>
          <w:rFonts w:ascii="Arial" w:hAnsi="Arial" w:eastAsia="等线" w:cs="Arial"/>
          <w:sz w:val="22"/>
        </w:rPr>
        <w:t>ChainCore (CCR) adopts a technical design of "four-layer architecture + cross-chain protocol", deeply integrating blockchain underlying innovation and smart contract optimization. It balances performance, security, compatibility, and scalability, providing full-link technical support for ecological applications.</w:t>
      </w:r>
    </w:p>
    <w:p w14:paraId="37DFD162">
      <w:pPr>
        <w:spacing w:before="300" w:after="120" w:line="288" w:lineRule="auto"/>
        <w:ind w:left="0"/>
        <w:jc w:val="left"/>
        <w:outlineLvl w:val="2"/>
      </w:pPr>
      <w:bookmarkStart w:id="5" w:name="heading_5"/>
      <w:r>
        <w:rPr>
          <w:rFonts w:ascii="Arial" w:hAnsi="Arial" w:eastAsia="等线" w:cs="Arial"/>
          <w:b/>
          <w:sz w:val="30"/>
        </w:rPr>
        <w:t>2.1 Underlying Foundation Layer: Dual Guarantee of Performance and Security</w:t>
      </w:r>
      <w:bookmarkEnd w:id="5"/>
    </w:p>
    <w:p w14:paraId="49648A9C">
      <w:pPr>
        <w:spacing w:before="120" w:after="120" w:line="288" w:lineRule="auto"/>
        <w:ind w:left="0"/>
        <w:jc w:val="left"/>
      </w:pPr>
      <w:r>
        <w:rPr>
          <w:rFonts w:ascii="Arial" w:hAnsi="Arial" w:eastAsia="等线" w:cs="Arial"/>
          <w:sz w:val="22"/>
        </w:rPr>
        <w:t>The underlying foundation layer is customized based on the Ethereum 2.0 ecosystem, adopting a dual optimization scheme of "PoS consensus + sharding technology" to balance performance and decentralization:</w:t>
      </w:r>
    </w:p>
    <w:p w14:paraId="684AAD42">
      <w:pPr>
        <w:numPr>
          <w:ilvl w:val="0"/>
          <w:numId w:val="4"/>
        </w:numPr>
        <w:spacing w:before="120" w:after="120" w:line="288" w:lineRule="auto"/>
        <w:ind w:left="0"/>
        <w:jc w:val="left"/>
      </w:pPr>
      <w:r>
        <w:rPr>
          <w:rFonts w:ascii="Arial" w:hAnsi="Arial" w:eastAsia="等线" w:cs="Arial"/>
          <w:sz w:val="22"/>
        </w:rPr>
        <w:t>Consensus mechanism: An improved Proof of Stake (PoS) consensus is adopted, introducing a "verification node stratification mechanism". Verification nodes are divided into core nodes and ordinary nodes. Core nodes are responsible for block generation and verification, while ordinary nodes participate in ecological governance and data backup. The block confirmation speed is optimized to 2 seconds per block, and the throughput (TPS) exceeds 5000, meeting the needs of large-scale commercial scenarios;</w:t>
      </w:r>
    </w:p>
    <w:p w14:paraId="538F6FE3">
      <w:pPr>
        <w:numPr>
          <w:ilvl w:val="0"/>
          <w:numId w:val="5"/>
        </w:numPr>
        <w:spacing w:before="120" w:after="120" w:line="288" w:lineRule="auto"/>
        <w:ind w:left="0"/>
        <w:jc w:val="left"/>
      </w:pPr>
      <w:r>
        <w:rPr>
          <w:rFonts w:ascii="Arial" w:hAnsi="Arial" w:eastAsia="等线" w:cs="Arial"/>
          <w:sz w:val="22"/>
        </w:rPr>
        <w:t>Sharding technology: A dynamic sharding mechanism is adopted to automatically adjust the number of shards according to network transaction traffic. Each shard independently processes transactions and data storage, and realizes data synchronization between shards through a cross-shard communication protocol to avoid excessive load on a single shard;</w:t>
      </w:r>
    </w:p>
    <w:p w14:paraId="1C843DEF">
      <w:pPr>
        <w:numPr>
          <w:ilvl w:val="0"/>
          <w:numId w:val="6"/>
        </w:numPr>
        <w:spacing w:before="120" w:after="120" w:line="288" w:lineRule="auto"/>
        <w:ind w:left="0"/>
        <w:jc w:val="left"/>
      </w:pPr>
      <w:r>
        <w:rPr>
          <w:rFonts w:ascii="Arial" w:hAnsi="Arial" w:eastAsia="等线" w:cs="Arial"/>
          <w:sz w:val="22"/>
        </w:rPr>
        <w:t>Security protection: Zero-Knowledge Proofs (ZK-SNARKs) and multi-signature technology are introduced to achieve "data available but not visible", ensuring transaction privacy and asset security. At the same time, a smart contract security audit module is built to conduct automated vulnerability detection and manual review of contract code, reducing security risks.</w:t>
      </w:r>
    </w:p>
    <w:p w14:paraId="1B2FAD88">
      <w:pPr>
        <w:spacing w:before="300" w:after="120" w:line="288" w:lineRule="auto"/>
        <w:ind w:left="0"/>
        <w:jc w:val="left"/>
        <w:outlineLvl w:val="2"/>
      </w:pPr>
      <w:bookmarkStart w:id="6" w:name="heading_6"/>
      <w:r>
        <w:rPr>
          <w:rFonts w:ascii="Arial" w:hAnsi="Arial" w:eastAsia="等线" w:cs="Arial"/>
          <w:b/>
          <w:sz w:val="30"/>
        </w:rPr>
        <w:t>2.2 Cross-Chain Collaboration Layer: Breaking On-Chain Silos</w:t>
      </w:r>
      <w:bookmarkEnd w:id="6"/>
    </w:p>
    <w:p w14:paraId="0F386F9A">
      <w:pPr>
        <w:spacing w:before="120" w:after="120" w:line="288" w:lineRule="auto"/>
        <w:ind w:left="0"/>
        <w:jc w:val="left"/>
      </w:pPr>
      <w:r>
        <w:rPr>
          <w:rFonts w:ascii="Arial" w:hAnsi="Arial" w:eastAsia="等线" w:cs="Arial"/>
          <w:sz w:val="22"/>
        </w:rPr>
        <w:t>As an extension of the core technology, the cross-chain collaboration layer adopts a "relay chain + side chain" architecture, building a multi-chain interoperability platform to realize asset circulation, data synchronization, and contract calls between different blockchain networks:</w:t>
      </w:r>
    </w:p>
    <w:p w14:paraId="132B31B6">
      <w:pPr>
        <w:numPr>
          <w:ilvl w:val="0"/>
          <w:numId w:val="7"/>
        </w:numPr>
        <w:spacing w:before="120" w:after="120" w:line="288" w:lineRule="auto"/>
        <w:ind w:left="0"/>
        <w:jc w:val="left"/>
      </w:pPr>
      <w:r>
        <w:rPr>
          <w:rFonts w:ascii="Arial" w:hAnsi="Arial" w:eastAsia="等线" w:cs="Arial"/>
          <w:sz w:val="22"/>
        </w:rPr>
        <w:t>Relay chain mechanism: A dedicated cross-chain relay chain is deployed as an interaction hub for different blockchain networks. Relay nodes realize cross-chain data verification and forwarding, supporting the access of multiple types of blockchains such as public chains (Ethereum, Bitcoin) and consortium chains (Hyperledger);</w:t>
      </w:r>
    </w:p>
    <w:p w14:paraId="452F0E10">
      <w:pPr>
        <w:numPr>
          <w:ilvl w:val="0"/>
          <w:numId w:val="8"/>
        </w:numPr>
        <w:spacing w:before="120" w:after="120" w:line="288" w:lineRule="auto"/>
        <w:ind w:left="0"/>
        <w:jc w:val="left"/>
      </w:pPr>
      <w:r>
        <w:rPr>
          <w:rFonts w:ascii="Arial" w:hAnsi="Arial" w:eastAsia="等线" w:cs="Arial"/>
          <w:sz w:val="22"/>
        </w:rPr>
        <w:t>Cross-chain protocol: A standardized cross-chain protocol (CCR Cross-Chain Protocol) is formulated, defining unified rules for cross-chain asset mapping, data interaction, and contract calls to ensure the security and consistency of the cross-chain process;</w:t>
      </w:r>
    </w:p>
    <w:p w14:paraId="088091E7">
      <w:pPr>
        <w:numPr>
          <w:ilvl w:val="0"/>
          <w:numId w:val="9"/>
        </w:numPr>
        <w:spacing w:before="120" w:after="120" w:line="288" w:lineRule="auto"/>
        <w:ind w:left="0"/>
        <w:jc w:val="left"/>
      </w:pPr>
      <w:r>
        <w:rPr>
          <w:rFonts w:ascii="Arial" w:hAnsi="Arial" w:eastAsia="等线" w:cs="Arial"/>
          <w:sz w:val="22"/>
        </w:rPr>
        <w:t>Asset bridging: Smart contracts realize the anchoring and mapping of cross-chain assets. Users can exchange assets on other chains for homogeneous assets within the CCR ecosystem, realizing free circulation of cross-chain assets.</w:t>
      </w:r>
    </w:p>
    <w:p w14:paraId="1B58FC47">
      <w:pPr>
        <w:spacing w:before="300" w:after="120" w:line="288" w:lineRule="auto"/>
        <w:ind w:left="0"/>
        <w:jc w:val="left"/>
        <w:outlineLvl w:val="2"/>
      </w:pPr>
      <w:bookmarkStart w:id="7" w:name="heading_7"/>
      <w:r>
        <w:rPr>
          <w:rFonts w:ascii="Arial" w:hAnsi="Arial" w:eastAsia="等线" w:cs="Arial"/>
          <w:b/>
          <w:sz w:val="30"/>
        </w:rPr>
        <w:t>2.3 Smart Contract Layer: A Highly Available and Secure Contract Ecosystem</w:t>
      </w:r>
      <w:bookmarkEnd w:id="7"/>
    </w:p>
    <w:p w14:paraId="074F67EA">
      <w:pPr>
        <w:spacing w:before="120" w:after="120" w:line="288" w:lineRule="auto"/>
        <w:ind w:left="0"/>
        <w:jc w:val="left"/>
      </w:pPr>
      <w:r>
        <w:rPr>
          <w:rFonts w:ascii="Arial" w:hAnsi="Arial" w:eastAsia="等线" w:cs="Arial"/>
          <w:sz w:val="22"/>
        </w:rPr>
        <w:t>Based on the Solidity and Vyper multi-language ecosystem, the smart contract layer constructs a full-lifecycle management system of "contract template library + security audit + upgradeable mechanism":</w:t>
      </w:r>
    </w:p>
    <w:p w14:paraId="3BB51896">
      <w:pPr>
        <w:numPr>
          <w:ilvl w:val="0"/>
          <w:numId w:val="10"/>
        </w:numPr>
        <w:spacing w:before="120" w:after="120" w:line="288" w:lineRule="auto"/>
        <w:ind w:left="0"/>
        <w:jc w:val="left"/>
      </w:pPr>
      <w:r>
        <w:rPr>
          <w:rFonts w:ascii="Arial" w:hAnsi="Arial" w:eastAsia="等线" w:cs="Arial"/>
          <w:sz w:val="22"/>
        </w:rPr>
        <w:t>Contract template library: Develop standardized smart contract templates covering core scenarios such as financial lending, supply chain traceability, digital copyright, and government affairs certification. Users can quickly deploy contracts through simple configuration, reducing development thresholds;</w:t>
      </w:r>
    </w:p>
    <w:p w14:paraId="73708CAD">
      <w:pPr>
        <w:numPr>
          <w:ilvl w:val="0"/>
          <w:numId w:val="11"/>
        </w:numPr>
        <w:spacing w:before="120" w:after="120" w:line="288" w:lineRule="auto"/>
        <w:ind w:left="0"/>
        <w:jc w:val="left"/>
      </w:pPr>
      <w:r>
        <w:rPr>
          <w:rFonts w:ascii="Arial" w:hAnsi="Arial" w:eastAsia="等线" w:cs="Arial"/>
          <w:sz w:val="22"/>
        </w:rPr>
        <w:t>Security audit system: Build automated audit tools and a professional audit team to conduct vulnerability scanning, logical verification, and stress testing of contract code. At the same time, introduce a community security supervision mechanism to encourage white-hat hackers to discover vulnerabilities and reward them with CCR;</w:t>
      </w:r>
    </w:p>
    <w:p w14:paraId="5CC79972">
      <w:pPr>
        <w:numPr>
          <w:ilvl w:val="0"/>
          <w:numId w:val="12"/>
        </w:numPr>
        <w:spacing w:before="120" w:after="120" w:line="288" w:lineRule="auto"/>
        <w:ind w:left="0"/>
        <w:jc w:val="left"/>
      </w:pPr>
      <w:r>
        <w:rPr>
          <w:rFonts w:ascii="Arial" w:hAnsi="Arial" w:eastAsia="等线" w:cs="Arial"/>
          <w:sz w:val="22"/>
        </w:rPr>
        <w:t>Upgradeable contract mechanism: Adopt a proxy contract model to support the smooth upgrade and vulnerability repair of smart contracts, avoiding asset losses caused by contract defects. At the same time, retain historical transaction records of contracts to ensure traceability.</w:t>
      </w:r>
    </w:p>
    <w:p w14:paraId="596366D8">
      <w:pPr>
        <w:spacing w:before="300" w:after="120" w:line="288" w:lineRule="auto"/>
        <w:ind w:left="0"/>
        <w:jc w:val="left"/>
        <w:outlineLvl w:val="2"/>
      </w:pPr>
      <w:bookmarkStart w:id="8" w:name="heading_8"/>
      <w:r>
        <w:rPr>
          <w:rFonts w:ascii="Arial" w:hAnsi="Arial" w:eastAsia="等线" w:cs="Arial"/>
          <w:b/>
          <w:sz w:val="30"/>
        </w:rPr>
        <w:t>2.4 Application Adaptation Layer: Core Bridge for Ecological Landing</w:t>
      </w:r>
      <w:bookmarkEnd w:id="8"/>
    </w:p>
    <w:p w14:paraId="5B910520">
      <w:pPr>
        <w:spacing w:before="120" w:after="120" w:line="288" w:lineRule="auto"/>
        <w:ind w:left="0"/>
        <w:jc w:val="left"/>
      </w:pPr>
      <w:r>
        <w:rPr>
          <w:rFonts w:ascii="Arial" w:hAnsi="Arial" w:eastAsia="等线" w:cs="Arial"/>
          <w:sz w:val="22"/>
        </w:rPr>
        <w:t>The application adaptation layer provides standardized API interfaces and Software Development Kits (SDKs) to support the rapid access of applications in various industries to the CCR ecosystem. It also provides adaptation services such as data standardization and scenario customization:</w:t>
      </w:r>
    </w:p>
    <w:p w14:paraId="171FF6FB">
      <w:pPr>
        <w:numPr>
          <w:ilvl w:val="0"/>
          <w:numId w:val="13"/>
        </w:numPr>
        <w:spacing w:before="120" w:after="120" w:line="288" w:lineRule="auto"/>
        <w:ind w:left="0"/>
        <w:jc w:val="left"/>
      </w:pPr>
      <w:r>
        <w:rPr>
          <w:rFonts w:ascii="Arial" w:hAnsi="Arial" w:eastAsia="等线" w:cs="Arial"/>
          <w:sz w:val="22"/>
        </w:rPr>
        <w:t>Development toolkit: Provide SDK toolkits for developers, including full-process tools for contract development, testing, deployment, and operation and maintenance, supporting multi-language development environments and reducing technical access thresholds;</w:t>
      </w:r>
    </w:p>
    <w:p w14:paraId="13275F59">
      <w:pPr>
        <w:numPr>
          <w:ilvl w:val="0"/>
          <w:numId w:val="14"/>
        </w:numPr>
        <w:spacing w:before="120" w:after="120" w:line="288" w:lineRule="auto"/>
        <w:ind w:left="0"/>
        <w:jc w:val="left"/>
      </w:pPr>
      <w:r>
        <w:rPr>
          <w:rFonts w:ascii="Arial" w:hAnsi="Arial" w:eastAsia="等线" w:cs="Arial"/>
          <w:sz w:val="22"/>
        </w:rPr>
        <w:t>Data standardization module: Encrypt and structure business data in different scenarios to adapt to blockchain storage formats, and realize the linked synchronization of on-chain and off-chain data to ensure data integrity;</w:t>
      </w:r>
    </w:p>
    <w:p w14:paraId="4B8A3AEF">
      <w:pPr>
        <w:numPr>
          <w:ilvl w:val="0"/>
          <w:numId w:val="15"/>
        </w:numPr>
        <w:spacing w:before="120" w:after="120" w:line="288" w:lineRule="auto"/>
        <w:ind w:left="0"/>
        <w:jc w:val="left"/>
      </w:pPr>
      <w:r>
        <w:rPr>
          <w:rFonts w:ascii="Arial" w:hAnsi="Arial" w:eastAsia="等线" w:cs="Arial"/>
          <w:sz w:val="22"/>
        </w:rPr>
        <w:t>Customized services: Provide customized technical solutions for vertical industries such as finance, government affairs, and supply chains, optimize contract logic and data flow processes, and meet specific industry needs.</w:t>
      </w:r>
    </w:p>
    <w:p w14:paraId="0CCDA0D1">
      <w:pPr>
        <w:spacing w:before="320" w:after="120" w:line="288" w:lineRule="auto"/>
        <w:ind w:left="0"/>
        <w:jc w:val="left"/>
        <w:outlineLvl w:val="1"/>
      </w:pPr>
      <w:bookmarkStart w:id="9" w:name="heading_9"/>
      <w:r>
        <w:rPr>
          <w:rFonts w:ascii="Arial" w:hAnsi="Arial" w:eastAsia="等线" w:cs="Arial"/>
          <w:b/>
          <w:sz w:val="32"/>
        </w:rPr>
        <w:t>3. Economic Model Design</w:t>
      </w:r>
      <w:bookmarkEnd w:id="9"/>
    </w:p>
    <w:p w14:paraId="57D27D21">
      <w:pPr>
        <w:spacing w:before="120" w:after="120" w:line="288" w:lineRule="auto"/>
        <w:ind w:left="0"/>
        <w:jc w:val="left"/>
      </w:pPr>
      <w:r>
        <w:rPr>
          <w:rFonts w:ascii="Arial" w:hAnsi="Arial" w:eastAsia="等线" w:cs="Arial"/>
          <w:sz w:val="22"/>
        </w:rPr>
        <w:t>ChainCore (CCR) adopts an economic model of "fixed total supply + ecological incentives + dynamic adjustment", ensuring that the token value is deeply bound to ecological development, balancing short-term liquidity and long-term sustainability, and achieving a win-win situation for ecological participants.</w:t>
      </w:r>
    </w:p>
    <w:p w14:paraId="04076A24">
      <w:pPr>
        <w:spacing w:before="300" w:after="120" w:line="288" w:lineRule="auto"/>
        <w:ind w:left="0"/>
        <w:jc w:val="left"/>
        <w:outlineLvl w:val="2"/>
      </w:pPr>
      <w:bookmarkStart w:id="10" w:name="heading_10"/>
      <w:r>
        <w:rPr>
          <w:rFonts w:ascii="Arial" w:hAnsi="Arial" w:eastAsia="等线" w:cs="Arial"/>
          <w:b/>
          <w:sz w:val="30"/>
        </w:rPr>
        <w:t>3.1 Basic Token Information</w:t>
      </w:r>
      <w:bookmarkEnd w:id="10"/>
    </w:p>
    <w:p w14:paraId="3BE828FD">
      <w:pPr>
        <w:numPr>
          <w:ilvl w:val="0"/>
          <w:numId w:val="16"/>
        </w:numPr>
        <w:spacing w:before="120" w:after="120" w:line="288" w:lineRule="auto"/>
        <w:ind w:left="0"/>
        <w:jc w:val="left"/>
      </w:pPr>
      <w:r>
        <w:rPr>
          <w:rFonts w:ascii="Arial" w:hAnsi="Arial" w:eastAsia="等线" w:cs="Arial"/>
          <w:sz w:val="22"/>
        </w:rPr>
        <w:t>Token name: ChainCore</w:t>
      </w:r>
    </w:p>
    <w:p w14:paraId="19DD749C">
      <w:pPr>
        <w:numPr>
          <w:ilvl w:val="0"/>
          <w:numId w:val="17"/>
        </w:numPr>
        <w:spacing w:before="120" w:after="120" w:line="288" w:lineRule="auto"/>
        <w:ind w:left="0"/>
        <w:jc w:val="left"/>
      </w:pPr>
      <w:r>
        <w:rPr>
          <w:rFonts w:ascii="Arial" w:hAnsi="Arial" w:eastAsia="等线" w:cs="Arial"/>
          <w:sz w:val="22"/>
        </w:rPr>
        <w:t>Token symbol: CCR</w:t>
      </w:r>
    </w:p>
    <w:p w14:paraId="3F072D6B">
      <w:pPr>
        <w:numPr>
          <w:ilvl w:val="0"/>
          <w:numId w:val="18"/>
        </w:numPr>
        <w:spacing w:before="120" w:after="120" w:line="288" w:lineRule="auto"/>
        <w:ind w:left="0"/>
        <w:jc w:val="left"/>
      </w:pPr>
      <w:r>
        <w:rPr>
          <w:rFonts w:ascii="Arial" w:hAnsi="Arial" w:eastAsia="等线" w:cs="Arial"/>
          <w:sz w:val="22"/>
        </w:rPr>
        <w:t>Total supply: 700 million tokens (fixed total supply, no additional issuance)</w:t>
      </w:r>
    </w:p>
    <w:p w14:paraId="359D9C78">
      <w:pPr>
        <w:numPr>
          <w:ilvl w:val="0"/>
          <w:numId w:val="19"/>
        </w:numPr>
        <w:spacing w:before="120" w:after="120" w:line="288" w:lineRule="auto"/>
        <w:ind w:left="0"/>
        <w:jc w:val="left"/>
      </w:pPr>
      <w:r>
        <w:rPr>
          <w:rFonts w:ascii="Arial" w:hAnsi="Arial" w:eastAsia="等线" w:cs="Arial"/>
          <w:sz w:val="22"/>
        </w:rPr>
        <w:t>Issuance mechanism: Ecological incentives + private placement + public offering + team reserve + reserve fund. The specific distribution ratio is as follows:</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76"/>
        <w:gridCol w:w="3552"/>
        <w:gridCol w:w="3352"/>
      </w:tblGrid>
      <w:tr w14:paraId="21265AD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7EAEB6EE">
            <w:pPr>
              <w:spacing w:before="120" w:after="120" w:line="288" w:lineRule="auto"/>
              <w:ind w:left="0"/>
              <w:jc w:val="center"/>
              <w:rPr>
                <w:b/>
                <w:bCs/>
              </w:rPr>
            </w:pPr>
            <w:r>
              <w:rPr>
                <w:rFonts w:ascii="Arial" w:hAnsi="Arial" w:eastAsia="等线" w:cs="Arial"/>
                <w:b/>
                <w:bCs/>
                <w:sz w:val="22"/>
              </w:rPr>
              <w:t>Distribution Ratio</w:t>
            </w:r>
          </w:p>
        </w:tc>
        <w:tc>
          <w:tcPr>
            <w:tcW w:w="3552" w:type="dxa"/>
            <w:tcMar>
              <w:top w:w="60" w:type="dxa"/>
              <w:left w:w="120" w:type="dxa"/>
              <w:bottom w:w="30" w:type="dxa"/>
              <w:right w:w="120" w:type="dxa"/>
            </w:tcMar>
            <w:vAlign w:val="center"/>
          </w:tcPr>
          <w:p w14:paraId="2B003AB0">
            <w:pPr>
              <w:spacing w:before="120" w:after="120" w:line="288" w:lineRule="auto"/>
              <w:ind w:left="0"/>
              <w:jc w:val="center"/>
              <w:rPr>
                <w:b/>
                <w:bCs/>
              </w:rPr>
            </w:pPr>
            <w:r>
              <w:rPr>
                <w:rFonts w:ascii="Arial" w:hAnsi="Arial" w:eastAsia="等线" w:cs="Arial"/>
                <w:b/>
                <w:bCs/>
                <w:sz w:val="22"/>
              </w:rPr>
              <w:t>Purpose</w:t>
            </w:r>
          </w:p>
        </w:tc>
        <w:tc>
          <w:tcPr>
            <w:tcW w:w="3352" w:type="dxa"/>
            <w:tcMar>
              <w:top w:w="60" w:type="dxa"/>
              <w:left w:w="120" w:type="dxa"/>
              <w:bottom w:w="30" w:type="dxa"/>
              <w:right w:w="120" w:type="dxa"/>
            </w:tcMar>
            <w:vAlign w:val="center"/>
          </w:tcPr>
          <w:p w14:paraId="5E236CED">
            <w:pPr>
              <w:spacing w:before="120" w:after="120" w:line="288" w:lineRule="auto"/>
              <w:ind w:left="0"/>
              <w:jc w:val="center"/>
              <w:rPr>
                <w:b/>
                <w:bCs/>
              </w:rPr>
            </w:pPr>
            <w:r>
              <w:rPr>
                <w:rFonts w:ascii="Arial" w:hAnsi="Arial" w:eastAsia="等线" w:cs="Arial"/>
                <w:b/>
                <w:bCs/>
                <w:sz w:val="22"/>
              </w:rPr>
              <w:t>Lock-up Period and Release Rules</w:t>
            </w:r>
          </w:p>
        </w:tc>
      </w:tr>
      <w:tr w14:paraId="366342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2215C672">
            <w:pPr>
              <w:spacing w:before="120" w:after="120" w:line="288" w:lineRule="auto"/>
              <w:ind w:left="0"/>
              <w:jc w:val="center"/>
            </w:pPr>
            <w:r>
              <w:rPr>
                <w:rFonts w:ascii="Arial" w:hAnsi="Arial" w:eastAsia="等线" w:cs="Arial"/>
                <w:sz w:val="22"/>
              </w:rPr>
              <w:t>40%</w:t>
            </w:r>
          </w:p>
        </w:tc>
        <w:tc>
          <w:tcPr>
            <w:tcW w:w="3552" w:type="dxa"/>
            <w:tcMar>
              <w:top w:w="60" w:type="dxa"/>
              <w:left w:w="120" w:type="dxa"/>
              <w:bottom w:w="30" w:type="dxa"/>
              <w:right w:w="120" w:type="dxa"/>
            </w:tcMar>
            <w:vAlign w:val="center"/>
          </w:tcPr>
          <w:p w14:paraId="59B66B44">
            <w:pPr>
              <w:spacing w:before="120" w:after="120" w:line="288" w:lineRule="auto"/>
              <w:ind w:left="0"/>
              <w:jc w:val="center"/>
            </w:pPr>
            <w:r>
              <w:rPr>
                <w:rFonts w:ascii="Arial" w:hAnsi="Arial" w:eastAsia="等线" w:cs="Arial"/>
                <w:sz w:val="22"/>
              </w:rPr>
              <w:t>Ecological incentive fund (technology R&amp;D, scenario landing, developer rewards, community operation)</w:t>
            </w:r>
          </w:p>
        </w:tc>
        <w:tc>
          <w:tcPr>
            <w:tcW w:w="3352" w:type="dxa"/>
            <w:tcMar>
              <w:top w:w="60" w:type="dxa"/>
              <w:left w:w="120" w:type="dxa"/>
              <w:bottom w:w="30" w:type="dxa"/>
              <w:right w:w="120" w:type="dxa"/>
            </w:tcMar>
            <w:vAlign w:val="center"/>
          </w:tcPr>
          <w:p w14:paraId="1743CB42">
            <w:pPr>
              <w:spacing w:before="120" w:after="120" w:line="288" w:lineRule="auto"/>
              <w:ind w:left="0"/>
              <w:jc w:val="center"/>
            </w:pPr>
            <w:r>
              <w:rPr>
                <w:rFonts w:ascii="Arial" w:hAnsi="Arial" w:eastAsia="等线" w:cs="Arial"/>
                <w:sz w:val="22"/>
              </w:rPr>
              <w:t>Unlocked in 1 year, 25% released equally every quarter, and issued directionally as n</w:t>
            </w:r>
            <w:bookmarkStart w:id="30" w:name="_GoBack"/>
            <w:bookmarkEnd w:id="30"/>
            <w:r>
              <w:rPr>
                <w:rFonts w:ascii="Arial" w:hAnsi="Arial" w:eastAsia="等线" w:cs="Arial"/>
                <w:sz w:val="22"/>
              </w:rPr>
              <w:t>eeded</w:t>
            </w:r>
          </w:p>
        </w:tc>
      </w:tr>
      <w:tr w14:paraId="1422985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4C3CE046">
            <w:pPr>
              <w:spacing w:before="120" w:after="120" w:line="288" w:lineRule="auto"/>
              <w:ind w:left="0"/>
              <w:jc w:val="center"/>
            </w:pPr>
            <w:r>
              <w:rPr>
                <w:rFonts w:ascii="Arial" w:hAnsi="Arial" w:eastAsia="等线" w:cs="Arial"/>
                <w:sz w:val="22"/>
              </w:rPr>
              <w:t>25%</w:t>
            </w:r>
          </w:p>
        </w:tc>
        <w:tc>
          <w:tcPr>
            <w:tcW w:w="3552" w:type="dxa"/>
            <w:tcMar>
              <w:top w:w="60" w:type="dxa"/>
              <w:left w:w="120" w:type="dxa"/>
              <w:bottom w:w="30" w:type="dxa"/>
              <w:right w:w="120" w:type="dxa"/>
            </w:tcMar>
            <w:vAlign w:val="center"/>
          </w:tcPr>
          <w:p w14:paraId="3EDBF4B7">
            <w:pPr>
              <w:spacing w:before="120" w:after="120" w:line="288" w:lineRule="auto"/>
              <w:ind w:left="0"/>
              <w:jc w:val="center"/>
            </w:pPr>
            <w:r>
              <w:rPr>
                <w:rFonts w:ascii="Arial" w:hAnsi="Arial" w:eastAsia="等线" w:cs="Arial"/>
                <w:sz w:val="22"/>
              </w:rPr>
              <w:t>Private placement (strategic investment, institutional cooperation, technical partners)</w:t>
            </w:r>
          </w:p>
        </w:tc>
        <w:tc>
          <w:tcPr>
            <w:tcW w:w="3352" w:type="dxa"/>
            <w:tcMar>
              <w:top w:w="60" w:type="dxa"/>
              <w:left w:w="120" w:type="dxa"/>
              <w:bottom w:w="30" w:type="dxa"/>
              <w:right w:w="120" w:type="dxa"/>
            </w:tcMar>
            <w:vAlign w:val="center"/>
          </w:tcPr>
          <w:p w14:paraId="5CE76D7A">
            <w:pPr>
              <w:spacing w:before="120" w:after="120" w:line="288" w:lineRule="auto"/>
              <w:ind w:left="0"/>
              <w:jc w:val="center"/>
            </w:pPr>
            <w:r>
              <w:rPr>
                <w:rFonts w:ascii="Arial" w:hAnsi="Arial" w:eastAsia="等线" w:cs="Arial"/>
                <w:sz w:val="22"/>
              </w:rPr>
              <w:t>Unlocked in 1 year, released equally monthly after the lock-up period (Note: The lock-up period for institutional users shall not exceed 7 days)</w:t>
            </w:r>
          </w:p>
        </w:tc>
      </w:tr>
      <w:tr w14:paraId="0819BE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49F3FA12">
            <w:pPr>
              <w:spacing w:before="120" w:after="120" w:line="288" w:lineRule="auto"/>
              <w:ind w:left="0"/>
              <w:jc w:val="center"/>
            </w:pPr>
            <w:r>
              <w:rPr>
                <w:rFonts w:ascii="Arial" w:hAnsi="Arial" w:eastAsia="等线" w:cs="Arial"/>
                <w:sz w:val="22"/>
              </w:rPr>
              <w:t>8%</w:t>
            </w:r>
          </w:p>
        </w:tc>
        <w:tc>
          <w:tcPr>
            <w:tcW w:w="3552" w:type="dxa"/>
            <w:tcMar>
              <w:top w:w="60" w:type="dxa"/>
              <w:left w:w="120" w:type="dxa"/>
              <w:bottom w:w="30" w:type="dxa"/>
              <w:right w:w="120" w:type="dxa"/>
            </w:tcMar>
            <w:vAlign w:val="center"/>
          </w:tcPr>
          <w:p w14:paraId="55775932">
            <w:pPr>
              <w:spacing w:before="120" w:after="120" w:line="288" w:lineRule="auto"/>
              <w:ind w:left="0"/>
              <w:jc w:val="center"/>
            </w:pPr>
            <w:r>
              <w:rPr>
                <w:rFonts w:ascii="Arial" w:hAnsi="Arial" w:eastAsia="等线" w:cs="Arial"/>
                <w:sz w:val="22"/>
              </w:rPr>
              <w:t>Public sale (community users, retail investors)</w:t>
            </w:r>
          </w:p>
        </w:tc>
        <w:tc>
          <w:tcPr>
            <w:tcW w:w="3352" w:type="dxa"/>
            <w:tcMar>
              <w:top w:w="60" w:type="dxa"/>
              <w:left w:w="120" w:type="dxa"/>
              <w:bottom w:w="30" w:type="dxa"/>
              <w:right w:w="120" w:type="dxa"/>
            </w:tcMar>
            <w:vAlign w:val="center"/>
          </w:tcPr>
          <w:p w14:paraId="3C5EB01B">
            <w:pPr>
              <w:spacing w:before="120" w:after="120" w:line="288" w:lineRule="auto"/>
              <w:ind w:left="0"/>
              <w:jc w:val="center"/>
            </w:pPr>
            <w:r>
              <w:rPr>
                <w:rFonts w:ascii="Arial" w:hAnsi="Arial" w:eastAsia="等线" w:cs="Arial"/>
                <w:sz w:val="22"/>
              </w:rPr>
              <w:t>Lock-up period not exceeding 7 days, circulating immediately after unlocking</w:t>
            </w:r>
          </w:p>
        </w:tc>
      </w:tr>
      <w:tr w14:paraId="287781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1D3437E2">
            <w:pPr>
              <w:spacing w:before="120" w:after="120" w:line="288" w:lineRule="auto"/>
              <w:ind w:left="0"/>
              <w:jc w:val="center"/>
            </w:pPr>
            <w:r>
              <w:rPr>
                <w:rFonts w:ascii="Arial" w:hAnsi="Arial" w:eastAsia="等线" w:cs="Arial"/>
                <w:sz w:val="22"/>
              </w:rPr>
              <w:t>15%</w:t>
            </w:r>
          </w:p>
        </w:tc>
        <w:tc>
          <w:tcPr>
            <w:tcW w:w="3552" w:type="dxa"/>
            <w:tcMar>
              <w:top w:w="60" w:type="dxa"/>
              <w:left w:w="120" w:type="dxa"/>
              <w:bottom w:w="30" w:type="dxa"/>
              <w:right w:w="120" w:type="dxa"/>
            </w:tcMar>
            <w:vAlign w:val="center"/>
          </w:tcPr>
          <w:p w14:paraId="117D2F68">
            <w:pPr>
              <w:spacing w:before="120" w:after="120" w:line="288" w:lineRule="auto"/>
              <w:ind w:left="0"/>
              <w:jc w:val="center"/>
            </w:pPr>
            <w:r>
              <w:rPr>
                <w:rFonts w:ascii="Arial" w:hAnsi="Arial" w:eastAsia="等线" w:cs="Arial"/>
                <w:sz w:val="22"/>
              </w:rPr>
              <w:t>Team and core advisors</w:t>
            </w:r>
          </w:p>
        </w:tc>
        <w:tc>
          <w:tcPr>
            <w:tcW w:w="3352" w:type="dxa"/>
            <w:tcMar>
              <w:top w:w="60" w:type="dxa"/>
              <w:left w:w="120" w:type="dxa"/>
              <w:bottom w:w="30" w:type="dxa"/>
              <w:right w:w="120" w:type="dxa"/>
            </w:tcMar>
            <w:vAlign w:val="center"/>
          </w:tcPr>
          <w:p w14:paraId="1E346C63">
            <w:pPr>
              <w:spacing w:before="120" w:after="120" w:line="288" w:lineRule="auto"/>
              <w:ind w:left="0"/>
              <w:jc w:val="center"/>
            </w:pPr>
            <w:r>
              <w:rPr>
                <w:rFonts w:ascii="Arial" w:hAnsi="Arial" w:eastAsia="等线" w:cs="Arial"/>
                <w:sz w:val="22"/>
              </w:rPr>
              <w:t>Unlocked in 3 years, released equally monthly after the lock-up period, linked to ecological performance</w:t>
            </w:r>
          </w:p>
        </w:tc>
      </w:tr>
      <w:tr w14:paraId="0CA192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76" w:type="dxa"/>
            <w:tcMar>
              <w:top w:w="60" w:type="dxa"/>
              <w:left w:w="120" w:type="dxa"/>
              <w:bottom w:w="30" w:type="dxa"/>
              <w:right w:w="120" w:type="dxa"/>
            </w:tcMar>
            <w:vAlign w:val="center"/>
          </w:tcPr>
          <w:p w14:paraId="4396B0D7">
            <w:pPr>
              <w:spacing w:before="120" w:after="120" w:line="288" w:lineRule="auto"/>
              <w:ind w:left="0"/>
              <w:jc w:val="center"/>
            </w:pPr>
            <w:r>
              <w:rPr>
                <w:rFonts w:ascii="Arial" w:hAnsi="Arial" w:eastAsia="等线" w:cs="Arial"/>
                <w:sz w:val="22"/>
              </w:rPr>
              <w:t>12%</w:t>
            </w:r>
          </w:p>
        </w:tc>
        <w:tc>
          <w:tcPr>
            <w:tcW w:w="3552" w:type="dxa"/>
            <w:tcMar>
              <w:top w:w="60" w:type="dxa"/>
              <w:left w:w="120" w:type="dxa"/>
              <w:bottom w:w="30" w:type="dxa"/>
              <w:right w:w="120" w:type="dxa"/>
            </w:tcMar>
            <w:vAlign w:val="center"/>
          </w:tcPr>
          <w:p w14:paraId="6CC2CF85">
            <w:pPr>
              <w:spacing w:before="120" w:after="120" w:line="288" w:lineRule="auto"/>
              <w:ind w:left="0"/>
              <w:jc w:val="center"/>
            </w:pPr>
            <w:r>
              <w:rPr>
                <w:rFonts w:ascii="Arial" w:hAnsi="Arial" w:eastAsia="等线" w:cs="Arial"/>
                <w:sz w:val="22"/>
              </w:rPr>
              <w:t>Reserve fund (market fluctuation adjustment, emergency security maintenance, compliance governance)</w:t>
            </w:r>
          </w:p>
        </w:tc>
        <w:tc>
          <w:tcPr>
            <w:tcW w:w="3352" w:type="dxa"/>
            <w:tcMar>
              <w:top w:w="60" w:type="dxa"/>
              <w:left w:w="120" w:type="dxa"/>
              <w:bottom w:w="30" w:type="dxa"/>
              <w:right w:w="120" w:type="dxa"/>
            </w:tcMar>
            <w:vAlign w:val="center"/>
          </w:tcPr>
          <w:p w14:paraId="4DE72F72">
            <w:pPr>
              <w:spacing w:before="120" w:after="120" w:line="288" w:lineRule="auto"/>
              <w:ind w:left="0"/>
              <w:jc w:val="center"/>
            </w:pPr>
            <w:r>
              <w:rPr>
                <w:rFonts w:ascii="Arial" w:hAnsi="Arial" w:eastAsia="等线" w:cs="Arial"/>
                <w:sz w:val="22"/>
              </w:rPr>
              <w:t>Release rhythm determined by DAO governance, earmarked for specific purposes</w:t>
            </w:r>
          </w:p>
        </w:tc>
      </w:tr>
    </w:tbl>
    <w:p w14:paraId="35AB7E2B">
      <w:pPr>
        <w:spacing w:before="300" w:after="120" w:line="288" w:lineRule="auto"/>
        <w:ind w:left="0"/>
        <w:jc w:val="left"/>
        <w:outlineLvl w:val="2"/>
      </w:pPr>
      <w:bookmarkStart w:id="11" w:name="heading_11"/>
      <w:r>
        <w:rPr>
          <w:rFonts w:ascii="Arial" w:hAnsi="Arial" w:eastAsia="等线" w:cs="Arial"/>
          <w:b/>
          <w:sz w:val="30"/>
        </w:rPr>
        <w:t>3.2 Core Token Functions</w:t>
      </w:r>
      <w:bookmarkEnd w:id="11"/>
    </w:p>
    <w:p w14:paraId="2CF4F0FD">
      <w:pPr>
        <w:numPr>
          <w:ilvl w:val="0"/>
          <w:numId w:val="20"/>
        </w:numPr>
        <w:spacing w:before="120" w:after="120" w:line="288" w:lineRule="auto"/>
        <w:ind w:left="0"/>
        <w:jc w:val="left"/>
      </w:pPr>
      <w:r>
        <w:rPr>
          <w:rFonts w:ascii="Arial" w:hAnsi="Arial" w:eastAsia="等线" w:cs="Arial"/>
          <w:sz w:val="22"/>
        </w:rPr>
        <w:t>Medium of value circulation: As the only value carrier in the ecosystem, it is used in scenarios such as smart contract deployment fees, cross-chain transaction fees, service payments, and asset circulation, realizing efficient value transmission;</w:t>
      </w:r>
    </w:p>
    <w:p w14:paraId="65D89E42">
      <w:pPr>
        <w:numPr>
          <w:ilvl w:val="0"/>
          <w:numId w:val="21"/>
        </w:numPr>
        <w:spacing w:before="120" w:after="120" w:line="288" w:lineRule="auto"/>
        <w:ind w:left="0"/>
        <w:jc w:val="left"/>
      </w:pPr>
      <w:r>
        <w:rPr>
          <w:rFonts w:ascii="Arial" w:hAnsi="Arial" w:eastAsia="等线" w:cs="Arial"/>
          <w:sz w:val="22"/>
        </w:rPr>
        <w:t>Ecological governance certificate: CCR holders can participate in major ecological decisions, including technical route adjustments, incentive rule optimization, scenario expansion directions, and compliance policy adaptation. Voting rights are positively correlated with the number of tokens held and the lock-up period;</w:t>
      </w:r>
    </w:p>
    <w:p w14:paraId="1490C7FE">
      <w:pPr>
        <w:numPr>
          <w:ilvl w:val="0"/>
          <w:numId w:val="22"/>
        </w:numPr>
        <w:spacing w:before="120" w:after="120" w:line="288" w:lineRule="auto"/>
        <w:ind w:left="0"/>
        <w:jc w:val="left"/>
      </w:pPr>
      <w:r>
        <w:rPr>
          <w:rFonts w:ascii="Arial" w:hAnsi="Arial" w:eastAsia="等线" w:cs="Arial"/>
          <w:sz w:val="22"/>
        </w:rPr>
        <w:t>Incentive and staking tool: Developers, verification nodes, and cross-chain nodes can obtain CCR rewards by contributing technology, providing computing power, and participating in governance. Users can improve transaction priority, obtain staking returns, and enhance ecological security by staking CCR;</w:t>
      </w:r>
    </w:p>
    <w:p w14:paraId="192F244A">
      <w:pPr>
        <w:numPr>
          <w:ilvl w:val="0"/>
          <w:numId w:val="23"/>
        </w:numPr>
        <w:spacing w:before="120" w:after="120" w:line="288" w:lineRule="auto"/>
        <w:ind w:left="0"/>
        <w:jc w:val="left"/>
      </w:pPr>
      <w:r>
        <w:rPr>
          <w:rFonts w:ascii="Arial" w:hAnsi="Arial" w:eastAsia="等线" w:cs="Arial"/>
          <w:sz w:val="22"/>
        </w:rPr>
        <w:t>Risk guarantee reserve: 3% of transaction fees in the ecosystem are extracted as a risk guarantee fund, of which 1.5% is used for CCR burning and 1.5% is injected into the reserve fund to cope with technical risks, market fluctuations, and compliance disputes, ensuring the stable operation of the ecosystem.</w:t>
      </w:r>
    </w:p>
    <w:p w14:paraId="7AE45EAE">
      <w:pPr>
        <w:spacing w:before="300" w:after="120" w:line="288" w:lineRule="auto"/>
        <w:ind w:left="0"/>
        <w:jc w:val="left"/>
        <w:outlineLvl w:val="2"/>
      </w:pPr>
      <w:bookmarkStart w:id="12" w:name="heading_12"/>
      <w:r>
        <w:rPr>
          <w:rFonts w:ascii="Arial" w:hAnsi="Arial" w:eastAsia="等线" w:cs="Arial"/>
          <w:b/>
          <w:sz w:val="30"/>
        </w:rPr>
        <w:t>3.3 Dynamic Adjustment Mechanism</w:t>
      </w:r>
      <w:bookmarkEnd w:id="12"/>
    </w:p>
    <w:p w14:paraId="09B98BE0">
      <w:pPr>
        <w:spacing w:before="120" w:after="120" w:line="288" w:lineRule="auto"/>
        <w:ind w:left="0"/>
        <w:jc w:val="left"/>
      </w:pPr>
      <w:r>
        <w:rPr>
          <w:rFonts w:ascii="Arial" w:hAnsi="Arial" w:eastAsia="等线" w:cs="Arial"/>
          <w:sz w:val="22"/>
        </w:rPr>
        <w:t>To adapt to the rhythm of ecological development, a DAO governance-driven dynamic adjustment mechanism is established: core parameters such as fee ratios, incentive distribution rules, and burning quotas are determined by community voting every quarter to ensure that the economic model matches the ecological development stage and market environment. At the same time, a burning mechanism is adopted to achieve slow token deflation. As the ecological transaction activity increases, the burning volume increases synchronously, strengthening the token value anchoring ability.</w:t>
      </w:r>
    </w:p>
    <w:p w14:paraId="4340273D">
      <w:pPr>
        <w:spacing w:before="320" w:after="120" w:line="288" w:lineRule="auto"/>
        <w:ind w:left="0"/>
        <w:jc w:val="left"/>
        <w:outlineLvl w:val="1"/>
      </w:pPr>
      <w:bookmarkStart w:id="13" w:name="heading_13"/>
      <w:r>
        <w:rPr>
          <w:rFonts w:ascii="Arial" w:hAnsi="Arial" w:eastAsia="等线" w:cs="Arial"/>
          <w:b/>
          <w:sz w:val="32"/>
        </w:rPr>
        <w:t>4. Core Application Scenarios</w:t>
      </w:r>
      <w:bookmarkEnd w:id="13"/>
    </w:p>
    <w:p w14:paraId="21CF086D">
      <w:pPr>
        <w:spacing w:before="120" w:after="120" w:line="288" w:lineRule="auto"/>
        <w:ind w:left="0"/>
        <w:jc w:val="left"/>
      </w:pPr>
      <w:r>
        <w:rPr>
          <w:rFonts w:ascii="Arial" w:hAnsi="Arial" w:eastAsia="等线" w:cs="Arial"/>
          <w:sz w:val="22"/>
        </w:rPr>
        <w:t>Focusing on the core application fields of blockchain and smart contracts, ChainCore (CCR) constructs standardized scenario solutions based on the needs of different industries, promoting technology landing and value realization. It covers four core scenarios: fintech, supply chain management, digital copyright, and government services.</w:t>
      </w:r>
    </w:p>
    <w:p w14:paraId="321E17BD">
      <w:pPr>
        <w:spacing w:before="300" w:after="120" w:line="288" w:lineRule="auto"/>
        <w:ind w:left="0"/>
        <w:jc w:val="left"/>
        <w:outlineLvl w:val="2"/>
      </w:pPr>
      <w:bookmarkStart w:id="14" w:name="heading_14"/>
      <w:r>
        <w:rPr>
          <w:rFonts w:ascii="Arial" w:hAnsi="Arial" w:eastAsia="等线" w:cs="Arial"/>
          <w:b/>
          <w:sz w:val="30"/>
        </w:rPr>
        <w:t>4.1 Fintech Scenario: Decentralized Finance (DeFi) Ecosystem</w:t>
      </w:r>
      <w:bookmarkEnd w:id="14"/>
    </w:p>
    <w:p w14:paraId="425604D3">
      <w:pPr>
        <w:spacing w:before="120" w:after="120" w:line="288" w:lineRule="auto"/>
        <w:ind w:left="0"/>
        <w:jc w:val="left"/>
      </w:pPr>
      <w:r>
        <w:rPr>
          <w:rFonts w:ascii="Arial" w:hAnsi="Arial" w:eastAsia="等线" w:cs="Arial"/>
          <w:sz w:val="22"/>
        </w:rPr>
        <w:t>Relying on CCR's underlying technology and smart contract capabilities, a decentralized finance ecosystem is built, covering subdivided scenarios such as lending, trading, wealth management, and insurance:</w:t>
      </w:r>
    </w:p>
    <w:p w14:paraId="430C913C">
      <w:pPr>
        <w:numPr>
          <w:ilvl w:val="0"/>
          <w:numId w:val="24"/>
        </w:numPr>
        <w:spacing w:before="120" w:after="120" w:line="288" w:lineRule="auto"/>
        <w:ind w:left="0"/>
        <w:jc w:val="left"/>
      </w:pPr>
      <w:r>
        <w:rPr>
          <w:rFonts w:ascii="Arial" w:hAnsi="Arial" w:eastAsia="等线" w:cs="Arial"/>
          <w:sz w:val="22"/>
        </w:rPr>
        <w:t>Decentralized lending: Smart contracts realize automatic matching of lenders and borrowers, collateral evaluation, and interest settlement without the participation of intermediary institutions, reducing lending thresholds and costs. Users can pledge CCR or cross-chain assets to obtain loans, with loan amounts linked to collateral values in real time and automatic liquidation upon maturity;</w:t>
      </w:r>
    </w:p>
    <w:p w14:paraId="3854CD1B">
      <w:pPr>
        <w:numPr>
          <w:ilvl w:val="0"/>
          <w:numId w:val="25"/>
        </w:numPr>
        <w:spacing w:before="120" w:after="120" w:line="288" w:lineRule="auto"/>
        <w:ind w:left="0"/>
        <w:jc w:val="left"/>
      </w:pPr>
      <w:r>
        <w:rPr>
          <w:rFonts w:ascii="Arial" w:hAnsi="Arial" w:eastAsia="等线" w:cs="Arial"/>
          <w:sz w:val="22"/>
        </w:rPr>
        <w:t>Decentralized trading: Build a Decentralized Exchange (DEX) based on smart contracts, supporting the trading of CCR and cross-chain assets. Provide liquidity through an Automated Market Maker (AMM) mechanism, with transaction fees as low as 0.1%. All transaction records are on-chain and traceable, ensuring transaction security;</w:t>
      </w:r>
    </w:p>
    <w:p w14:paraId="1765E030">
      <w:pPr>
        <w:numPr>
          <w:ilvl w:val="0"/>
          <w:numId w:val="26"/>
        </w:numPr>
        <w:spacing w:before="120" w:after="120" w:line="288" w:lineRule="auto"/>
        <w:ind w:left="0"/>
        <w:jc w:val="left"/>
      </w:pPr>
      <w:r>
        <w:rPr>
          <w:rFonts w:ascii="Arial" w:hAnsi="Arial" w:eastAsia="等线" w:cs="Arial"/>
          <w:sz w:val="22"/>
        </w:rPr>
        <w:t>Smart wealth management: Develop automated wealth management contracts. After users invest CCR, the contracts automatically allocate assets and adjust positions according to preset strategies to maximize returns. At the same time, the profit distribution rules are clarified through smart contracts to protect user rights and interests.</w:t>
      </w:r>
    </w:p>
    <w:p w14:paraId="59652244">
      <w:pPr>
        <w:spacing w:before="300" w:after="120" w:line="288" w:lineRule="auto"/>
        <w:ind w:left="0"/>
        <w:jc w:val="left"/>
        <w:outlineLvl w:val="2"/>
      </w:pPr>
      <w:bookmarkStart w:id="15" w:name="heading_15"/>
      <w:r>
        <w:rPr>
          <w:rFonts w:ascii="Arial" w:hAnsi="Arial" w:eastAsia="等线" w:cs="Arial"/>
          <w:b/>
          <w:sz w:val="30"/>
        </w:rPr>
        <w:t>4.2 Supply Chain Management Scenario: Full-Process Traceability and Collaboration</w:t>
      </w:r>
      <w:bookmarkEnd w:id="15"/>
    </w:p>
    <w:p w14:paraId="27212CC5">
      <w:pPr>
        <w:spacing w:before="120" w:after="120" w:line="288" w:lineRule="auto"/>
        <w:ind w:left="0"/>
        <w:jc w:val="left"/>
      </w:pPr>
      <w:r>
        <w:rPr>
          <w:rFonts w:ascii="Arial" w:hAnsi="Arial" w:eastAsia="等线" w:cs="Arial"/>
          <w:sz w:val="22"/>
        </w:rPr>
        <w:t>Utilizing the immutability of blockchain and the automation of smart contracts, a full-process traceability and collaboration platform for supply chains is built to address pain points such as information asymmetry, cumbersome processes, and lack of trust:</w:t>
      </w:r>
    </w:p>
    <w:p w14:paraId="1DC04CC7">
      <w:pPr>
        <w:spacing w:before="120" w:after="120" w:line="288" w:lineRule="auto"/>
        <w:ind w:left="0"/>
        <w:jc w:val="left"/>
      </w:pPr>
      <w:r>
        <w:rPr>
          <w:rFonts w:ascii="Arial" w:hAnsi="Arial" w:eastAsia="等线" w:cs="Arial"/>
          <w:sz w:val="22"/>
        </w:rPr>
        <w:t>Upstream suppliers upload raw material procurement information, quality inspection reports, and other data to the chain for certification, and the payment process is automatically triggered through smart contracts; midstream manufacturers upload production progress, processing technology, and other data in real time to realize transparency of the production process; downstream distributors and end users can query product traceability information through the blockchain to verify product authenticity. At the same time, connect enterprise internal systems and third-party logistics platforms through cross-chain protocols to realize the linked synchronization of orders, logistics, and capital flows. Smart contracts automatically complete order settlement, logistics tracking, and abnormal early warning, improving supply chain collaboration efficiency and reducing operational costs.</w:t>
      </w:r>
    </w:p>
    <w:p w14:paraId="74384D05">
      <w:pPr>
        <w:spacing w:before="300" w:after="120" w:line="288" w:lineRule="auto"/>
        <w:ind w:left="0"/>
        <w:jc w:val="left"/>
        <w:outlineLvl w:val="2"/>
      </w:pPr>
      <w:bookmarkStart w:id="16" w:name="heading_16"/>
      <w:r>
        <w:rPr>
          <w:rFonts w:ascii="Arial" w:hAnsi="Arial" w:eastAsia="等线" w:cs="Arial"/>
          <w:b/>
          <w:sz w:val="30"/>
        </w:rPr>
        <w:t>4.3 Digital Copyright Scenario: Rights Protection and Value Monetization</w:t>
      </w:r>
      <w:bookmarkEnd w:id="16"/>
    </w:p>
    <w:p w14:paraId="162398B5">
      <w:pPr>
        <w:spacing w:before="120" w:after="120" w:line="288" w:lineRule="auto"/>
        <w:ind w:left="0"/>
        <w:jc w:val="left"/>
      </w:pPr>
      <w:r>
        <w:rPr>
          <w:rFonts w:ascii="Arial" w:hAnsi="Arial" w:eastAsia="等线" w:cs="Arial"/>
          <w:sz w:val="22"/>
        </w:rPr>
        <w:t>Targeting the pain points of copyright protection for digital content (text, images, audio and video, software), a digital copyright service platform based on blockchain and smart contracts is built:</w:t>
      </w:r>
    </w:p>
    <w:p w14:paraId="33646B87">
      <w:pPr>
        <w:spacing w:before="120" w:after="120" w:line="288" w:lineRule="auto"/>
        <w:ind w:left="0"/>
        <w:jc w:val="left"/>
      </w:pPr>
      <w:r>
        <w:rPr>
          <w:rFonts w:ascii="Arial" w:hAnsi="Arial" w:eastAsia="等线" w:cs="Arial"/>
          <w:sz w:val="22"/>
        </w:rPr>
        <w:t>After creators upload digital content, the blockchain automatically completes copyright confirmation and timestamp certification, generating a unique copyright identifier to prevent copyright infringement; set copyright authorization rules, usage fees, and profit distribution ratios through smart contracts. Users can obtain copyright usage rights by paying CCR, and profits are automatically distributed to creators, platform operators, and promoters; at the same time, support copyright transactions and secondary authorization. Creators can transfer copyrights or authorize others to use them through smart contracts, realizing the maximum value of digital copyrights.</w:t>
      </w:r>
    </w:p>
    <w:p w14:paraId="2F434F82">
      <w:pPr>
        <w:spacing w:before="300" w:after="120" w:line="288" w:lineRule="auto"/>
        <w:ind w:left="0"/>
        <w:jc w:val="left"/>
        <w:outlineLvl w:val="2"/>
      </w:pPr>
      <w:bookmarkStart w:id="17" w:name="heading_17"/>
      <w:r>
        <w:rPr>
          <w:rFonts w:ascii="Arial" w:hAnsi="Arial" w:eastAsia="等线" w:cs="Arial"/>
          <w:b/>
          <w:sz w:val="30"/>
        </w:rPr>
        <w:t>4.4 Government Services Scenario: Compliant Certification and Efficient Collaboration</w:t>
      </w:r>
      <w:bookmarkEnd w:id="17"/>
    </w:p>
    <w:p w14:paraId="4024044F">
      <w:pPr>
        <w:spacing w:before="120" w:after="120" w:line="288" w:lineRule="auto"/>
        <w:ind w:left="0"/>
        <w:jc w:val="left"/>
      </w:pPr>
      <w:r>
        <w:rPr>
          <w:rFonts w:ascii="Arial" w:hAnsi="Arial" w:eastAsia="等线" w:cs="Arial"/>
          <w:sz w:val="22"/>
        </w:rPr>
        <w:t>Adapting to the compliance needs of government services, a government service platform based on consortium chains is built to realize government data certification, approval process optimization, and cross-departmental collaboration:</w:t>
      </w:r>
    </w:p>
    <w:p w14:paraId="3CD2E504">
      <w:pPr>
        <w:spacing w:before="120" w:after="120" w:line="288" w:lineRule="auto"/>
        <w:ind w:left="0"/>
        <w:jc w:val="left"/>
      </w:pPr>
      <w:r>
        <w:rPr>
          <w:rFonts w:ascii="Arial" w:hAnsi="Arial" w:eastAsia="等线" w:cs="Arial"/>
          <w:sz w:val="22"/>
        </w:rPr>
        <w:t>Upload government data such as industrial and commercial registration, tax declaration, qualification approval, and electronic licenses to the chain for certification, ensuring data authenticity and immutability and simplifying the approval process; realize cross-departmental data sharing and automated approval processes through smart contracts, reducing manual intervention and improving government service efficiency; at the same time, strictly follow data privacy protection regulations, encrypt sensitive data using zero-knowledge proof technology, balance data sharing and privacy protection, and realize the digitalization, intelligence, and compliance of government services.</w:t>
      </w:r>
    </w:p>
    <w:p w14:paraId="26DB361B">
      <w:pPr>
        <w:spacing w:before="320" w:after="120" w:line="288" w:lineRule="auto"/>
        <w:ind w:left="0"/>
        <w:jc w:val="left"/>
        <w:outlineLvl w:val="1"/>
      </w:pPr>
      <w:bookmarkStart w:id="18" w:name="heading_18"/>
      <w:r>
        <w:rPr>
          <w:rFonts w:ascii="Arial" w:hAnsi="Arial" w:eastAsia="等线" w:cs="Arial"/>
          <w:b/>
          <w:sz w:val="32"/>
        </w:rPr>
        <w:t>5. Compliance Governance and Risk Prevention and Control</w:t>
      </w:r>
      <w:bookmarkEnd w:id="18"/>
    </w:p>
    <w:p w14:paraId="09ED4861">
      <w:pPr>
        <w:spacing w:before="120" w:after="120" w:line="288" w:lineRule="auto"/>
        <w:ind w:left="0"/>
        <w:jc w:val="left"/>
      </w:pPr>
      <w:r>
        <w:rPr>
          <w:rFonts w:ascii="Arial" w:hAnsi="Arial" w:eastAsia="等线" w:cs="Arial"/>
          <w:sz w:val="22"/>
        </w:rPr>
        <w:t>Adhering to the development principle of "compliance first, risk control", ChainCore (CCR) constructs a global compliance governance framework and a full-dimensional risk prevention and control system to achieve a balance between technological innovation and compliant development.</w:t>
      </w:r>
    </w:p>
    <w:p w14:paraId="77595613">
      <w:pPr>
        <w:spacing w:before="300" w:after="120" w:line="288" w:lineRule="auto"/>
        <w:ind w:left="0"/>
        <w:jc w:val="left"/>
        <w:outlineLvl w:val="2"/>
      </w:pPr>
      <w:bookmarkStart w:id="19" w:name="heading_19"/>
      <w:r>
        <w:rPr>
          <w:rFonts w:ascii="Arial" w:hAnsi="Arial" w:eastAsia="等线" w:cs="Arial"/>
          <w:b/>
          <w:sz w:val="30"/>
        </w:rPr>
        <w:t>5.1 Global Compliance Governance</w:t>
      </w:r>
      <w:bookmarkEnd w:id="19"/>
    </w:p>
    <w:p w14:paraId="04981DAB">
      <w:pPr>
        <w:spacing w:before="120" w:after="120" w:line="288" w:lineRule="auto"/>
        <w:ind w:left="0"/>
        <w:jc w:val="left"/>
      </w:pPr>
      <w:r>
        <w:rPr>
          <w:rFonts w:ascii="Arial" w:hAnsi="Arial" w:eastAsia="等线" w:cs="Arial"/>
          <w:sz w:val="22"/>
        </w:rPr>
        <w:t>Establish a compliance system adapting to regulatory policies in different countries and regions: Comply with the General Data Protection Regulation (GDPR) and encrypted asset regulatory rules in the European Union and complete relevant compliance filings; connect with the Securities and Exchange Commission (SEC) and the Commodity Futures Trading Commission (CFTC) in the United States to ensure the compliance of token issuance and trading; cooperate with local regulatory authorities in the Asia-Pacific region to carry out compliance pilots and formulate localized compliance solutions. At the same time, establish a compliance committee composed of legal experts, regulatory consultants, and community representatives to regularly assess changes in regulatory policies and adjust ecological operation strategies to ensure the compliant development of the ecosystem.</w:t>
      </w:r>
    </w:p>
    <w:p w14:paraId="455B4CF3">
      <w:pPr>
        <w:spacing w:before="300" w:after="120" w:line="288" w:lineRule="auto"/>
        <w:ind w:left="0"/>
        <w:jc w:val="left"/>
        <w:outlineLvl w:val="2"/>
      </w:pPr>
      <w:bookmarkStart w:id="20" w:name="heading_20"/>
      <w:r>
        <w:rPr>
          <w:rFonts w:ascii="Arial" w:hAnsi="Arial" w:eastAsia="等线" w:cs="Arial"/>
          <w:b/>
          <w:sz w:val="30"/>
        </w:rPr>
        <w:t>5.2 Full-Dimensional Risk Prevention and Control</w:t>
      </w:r>
      <w:bookmarkEnd w:id="20"/>
    </w:p>
    <w:p w14:paraId="5D273B85">
      <w:pPr>
        <w:numPr>
          <w:ilvl w:val="0"/>
          <w:numId w:val="27"/>
        </w:numPr>
        <w:spacing w:before="120" w:after="120" w:line="288" w:lineRule="auto"/>
        <w:ind w:left="0"/>
        <w:jc w:val="left"/>
      </w:pPr>
      <w:r>
        <w:rPr>
          <w:rFonts w:ascii="Arial" w:hAnsi="Arial" w:eastAsia="等线" w:cs="Arial"/>
          <w:sz w:val="22"/>
        </w:rPr>
        <w:t>Technical risk prevention and control: Establish a vulnerability response mechanism to encourage white-hat hackers to discover and report technical vulnerabilities and reward them with CCR; conduct regular technical audits and stress tests, optimize the underlying architecture and smart contract code, and improve ecological security;</w:t>
      </w:r>
    </w:p>
    <w:p w14:paraId="4FA71B18">
      <w:pPr>
        <w:numPr>
          <w:ilvl w:val="0"/>
          <w:numId w:val="28"/>
        </w:numPr>
        <w:spacing w:before="120" w:after="120" w:line="288" w:lineRule="auto"/>
        <w:ind w:left="0"/>
        <w:jc w:val="left"/>
      </w:pPr>
      <w:r>
        <w:rPr>
          <w:rFonts w:ascii="Arial" w:hAnsi="Arial" w:eastAsia="等线" w:cs="Arial"/>
          <w:sz w:val="22"/>
        </w:rPr>
        <w:t>Market risk prevention and control: Adjust market fluctuations through the reserve fund to avoid sharp token price volatility; restrict large-value transactions and high-frequency transactions to prevent market manipulation;</w:t>
      </w:r>
    </w:p>
    <w:p w14:paraId="5DD7D218">
      <w:pPr>
        <w:numPr>
          <w:ilvl w:val="0"/>
          <w:numId w:val="29"/>
        </w:numPr>
        <w:spacing w:before="120" w:after="120" w:line="288" w:lineRule="auto"/>
        <w:ind w:left="0"/>
        <w:jc w:val="left"/>
      </w:pPr>
      <w:r>
        <w:rPr>
          <w:rFonts w:ascii="Arial" w:hAnsi="Arial" w:eastAsia="等线" w:cs="Arial"/>
          <w:sz w:val="22"/>
        </w:rPr>
        <w:t>Ethical risk prevention and control: Formulate ecological ethical guidelines, prohibiting illegal financing, money laundering, fraud, and other activities using blockchain and smart contracts; establish an application scenario review mechanism to take down and rectify non-compliant scenarios, ensuring that technology serves legal and compliant needs.</w:t>
      </w:r>
    </w:p>
    <w:p w14:paraId="6D33569C">
      <w:pPr>
        <w:spacing w:before="320" w:after="120" w:line="288" w:lineRule="auto"/>
        <w:ind w:left="0"/>
        <w:jc w:val="left"/>
        <w:outlineLvl w:val="1"/>
      </w:pPr>
      <w:bookmarkStart w:id="21" w:name="heading_21"/>
      <w:r>
        <w:rPr>
          <w:rFonts w:ascii="Arial" w:hAnsi="Arial" w:eastAsia="等线" w:cs="Arial"/>
          <w:b/>
          <w:sz w:val="32"/>
        </w:rPr>
        <w:t>6. Development Roadmap</w:t>
      </w:r>
      <w:bookmarkEnd w:id="21"/>
    </w:p>
    <w:p w14:paraId="378FA634">
      <w:pPr>
        <w:spacing w:before="300" w:after="120" w:line="288" w:lineRule="auto"/>
        <w:ind w:left="0"/>
        <w:jc w:val="left"/>
        <w:outlineLvl w:val="2"/>
      </w:pPr>
      <w:bookmarkStart w:id="22" w:name="heading_22"/>
      <w:r>
        <w:rPr>
          <w:rFonts w:ascii="Arial" w:hAnsi="Arial" w:eastAsia="等线" w:cs="Arial"/>
          <w:b/>
          <w:sz w:val="30"/>
        </w:rPr>
        <w:t>6.1 Phase 1 (Q1-Q4 2026): Ecological Launch Period</w:t>
      </w:r>
      <w:bookmarkEnd w:id="22"/>
    </w:p>
    <w:p w14:paraId="0BF50723">
      <w:pPr>
        <w:numPr>
          <w:ilvl w:val="0"/>
          <w:numId w:val="30"/>
        </w:numPr>
        <w:spacing w:before="120" w:after="120" w:line="288" w:lineRule="auto"/>
        <w:ind w:left="0"/>
        <w:jc w:val="left"/>
      </w:pPr>
      <w:r>
        <w:rPr>
          <w:rFonts w:ascii="Arial" w:hAnsi="Arial" w:eastAsia="等线" w:cs="Arial"/>
          <w:sz w:val="22"/>
        </w:rPr>
        <w:t>Complete CCR token issuance and listing, build the core underlying blockchain network and cross-chain collaboration layer, and realize cross-chain docking with mainstream public chains;</w:t>
      </w:r>
    </w:p>
    <w:p w14:paraId="1C47F1ED">
      <w:pPr>
        <w:numPr>
          <w:ilvl w:val="0"/>
          <w:numId w:val="31"/>
        </w:numPr>
        <w:spacing w:before="120" w:after="120" w:line="288" w:lineRule="auto"/>
        <w:ind w:left="0"/>
        <w:jc w:val="left"/>
      </w:pPr>
      <w:r>
        <w:rPr>
          <w:rFonts w:ascii="Arial" w:hAnsi="Arial" w:eastAsia="等线" w:cs="Arial"/>
          <w:sz w:val="22"/>
        </w:rPr>
        <w:t>Release the smart contract template library and developer toolkit, attract developers to participate in ecological construction, and launch core DeFi scenarios such as decentralized lending and trading;</w:t>
      </w:r>
    </w:p>
    <w:p w14:paraId="7993515D">
      <w:pPr>
        <w:numPr>
          <w:ilvl w:val="0"/>
          <w:numId w:val="32"/>
        </w:numPr>
        <w:spacing w:before="120" w:after="120" w:line="288" w:lineRule="auto"/>
        <w:ind w:left="0"/>
        <w:jc w:val="left"/>
      </w:pPr>
      <w:r>
        <w:rPr>
          <w:rFonts w:ascii="Arial" w:hAnsi="Arial" w:eastAsia="等线" w:cs="Arial"/>
          <w:sz w:val="22"/>
        </w:rPr>
        <w:t>Establish the initial DAO governance framework and compliance committee, complete compliance filings in North America and Europe, and launch community operation and ecological incentive plans.</w:t>
      </w:r>
    </w:p>
    <w:p w14:paraId="6AEA616D">
      <w:pPr>
        <w:spacing w:before="300" w:after="120" w:line="288" w:lineRule="auto"/>
        <w:ind w:left="0"/>
        <w:jc w:val="left"/>
        <w:outlineLvl w:val="2"/>
      </w:pPr>
      <w:bookmarkStart w:id="23" w:name="heading_23"/>
      <w:r>
        <w:rPr>
          <w:rFonts w:ascii="Arial" w:hAnsi="Arial" w:eastAsia="等线" w:cs="Arial"/>
          <w:b/>
          <w:sz w:val="30"/>
        </w:rPr>
        <w:t>6.2 Phase 2 (Q1-Q4 2027): Ecological Expansion Period</w:t>
      </w:r>
      <w:bookmarkEnd w:id="23"/>
    </w:p>
    <w:p w14:paraId="282CAB14">
      <w:pPr>
        <w:numPr>
          <w:ilvl w:val="0"/>
          <w:numId w:val="33"/>
        </w:numPr>
        <w:spacing w:before="120" w:after="120" w:line="288" w:lineRule="auto"/>
        <w:ind w:left="0"/>
        <w:jc w:val="left"/>
      </w:pPr>
      <w:r>
        <w:rPr>
          <w:rFonts w:ascii="Arial" w:hAnsi="Arial" w:eastAsia="等线" w:cs="Arial"/>
          <w:sz w:val="22"/>
        </w:rPr>
        <w:t>Optimize the underlying technical architecture, improve network performance and cross-chain compatibility, realize docking with consortium chains and private chains, and expand the landing of scenarios such as supply chains and digital copyright;</w:t>
      </w:r>
    </w:p>
    <w:p w14:paraId="6AC9ABF8">
      <w:pPr>
        <w:numPr>
          <w:ilvl w:val="0"/>
          <w:numId w:val="34"/>
        </w:numPr>
        <w:spacing w:before="120" w:after="120" w:line="288" w:lineRule="auto"/>
        <w:ind w:left="0"/>
        <w:jc w:val="left"/>
      </w:pPr>
      <w:r>
        <w:rPr>
          <w:rFonts w:ascii="Arial" w:hAnsi="Arial" w:eastAsia="等线" w:cs="Arial"/>
          <w:sz w:val="22"/>
        </w:rPr>
        <w:t>Improve the DAO governance mechanism, expand community participation, and optimize economic model parameters; complete compliance layout in the Asia-Pacific, Middle East, and other regions, with ecological users exceeding 5 million;</w:t>
      </w:r>
    </w:p>
    <w:p w14:paraId="56FE45D8">
      <w:pPr>
        <w:numPr>
          <w:ilvl w:val="0"/>
          <w:numId w:val="35"/>
        </w:numPr>
        <w:spacing w:before="120" w:after="120" w:line="288" w:lineRule="auto"/>
        <w:ind w:left="0"/>
        <w:jc w:val="left"/>
      </w:pPr>
      <w:r>
        <w:rPr>
          <w:rFonts w:ascii="Arial" w:hAnsi="Arial" w:eastAsia="等线" w:cs="Arial"/>
          <w:sz w:val="22"/>
        </w:rPr>
        <w:t>Establish a smart contract security audit center, launch standardized compliance solutions, and cooperate with traditional enterprises, financial institutions, and government departments to promote large-scale ecological expansion.</w:t>
      </w:r>
    </w:p>
    <w:p w14:paraId="1B167D1C">
      <w:pPr>
        <w:spacing w:before="300" w:after="120" w:line="288" w:lineRule="auto"/>
        <w:ind w:left="0"/>
        <w:jc w:val="left"/>
        <w:outlineLvl w:val="2"/>
      </w:pPr>
      <w:bookmarkStart w:id="24" w:name="heading_24"/>
      <w:r>
        <w:rPr>
          <w:rFonts w:ascii="Arial" w:hAnsi="Arial" w:eastAsia="等线" w:cs="Arial"/>
          <w:b/>
          <w:sz w:val="30"/>
        </w:rPr>
        <w:t>6.3 Phase 3 (2028 and beyond): Ecological Maturity Period</w:t>
      </w:r>
      <w:bookmarkEnd w:id="24"/>
    </w:p>
    <w:p w14:paraId="4B37D0F7">
      <w:pPr>
        <w:numPr>
          <w:ilvl w:val="0"/>
          <w:numId w:val="36"/>
        </w:numPr>
        <w:spacing w:before="120" w:after="120" w:line="288" w:lineRule="auto"/>
        <w:ind w:left="0"/>
        <w:jc w:val="left"/>
      </w:pPr>
      <w:r>
        <w:rPr>
          <w:rFonts w:ascii="Arial" w:hAnsi="Arial" w:eastAsia="等线" w:cs="Arial"/>
          <w:sz w:val="22"/>
        </w:rPr>
        <w:t>Build a world-leading blockchain and smart contract ecological infrastructure, with CCR becoming the core value circulation carrier in the industry and ecological scenarios covering all industries;</w:t>
      </w:r>
    </w:p>
    <w:p w14:paraId="34962382">
      <w:pPr>
        <w:numPr>
          <w:ilvl w:val="0"/>
          <w:numId w:val="37"/>
        </w:numPr>
        <w:spacing w:before="120" w:after="120" w:line="288" w:lineRule="auto"/>
        <w:ind w:left="0"/>
        <w:jc w:val="left"/>
      </w:pPr>
      <w:r>
        <w:rPr>
          <w:rFonts w:ascii="Arial" w:hAnsi="Arial" w:eastAsia="等线" w:cs="Arial"/>
          <w:sz w:val="22"/>
        </w:rPr>
        <w:t>Realize fully decentralized governance of the ecosystem, with DAO fully leading technical routes, scenario expansion, and rule formulation, forming a self-optimizing and self-evolving ecological system;</w:t>
      </w:r>
    </w:p>
    <w:p w14:paraId="094BA2DE">
      <w:pPr>
        <w:numPr>
          <w:ilvl w:val="0"/>
          <w:numId w:val="38"/>
        </w:numPr>
        <w:spacing w:before="120" w:after="120" w:line="288" w:lineRule="auto"/>
        <w:ind w:left="0"/>
        <w:jc w:val="left"/>
      </w:pPr>
      <w:r>
        <w:rPr>
          <w:rFonts w:ascii="Arial" w:hAnsi="Arial" w:eastAsia="等线" w:cs="Arial"/>
          <w:sz w:val="22"/>
        </w:rPr>
        <w:t>Promote the formulation of standards for blockchain and smart contract technologies, cooperate with global regulatory authorities and industry associations, and build an open, inclusive, and sustainable global ecosystem.</w:t>
      </w:r>
    </w:p>
    <w:p w14:paraId="23BAEC51">
      <w:pPr>
        <w:spacing w:before="320" w:after="120" w:line="288" w:lineRule="auto"/>
        <w:ind w:left="0"/>
        <w:jc w:val="left"/>
        <w:outlineLvl w:val="1"/>
      </w:pPr>
      <w:bookmarkStart w:id="25" w:name="heading_25"/>
      <w:r>
        <w:rPr>
          <w:rFonts w:ascii="Arial" w:hAnsi="Arial" w:eastAsia="等线" w:cs="Arial"/>
          <w:b/>
          <w:sz w:val="32"/>
        </w:rPr>
        <w:t>7. Team and Advisors</w:t>
      </w:r>
      <w:bookmarkEnd w:id="25"/>
    </w:p>
    <w:p w14:paraId="015D570B">
      <w:pPr>
        <w:spacing w:before="300" w:after="120" w:line="288" w:lineRule="auto"/>
        <w:ind w:left="0"/>
        <w:jc w:val="left"/>
        <w:outlineLvl w:val="2"/>
      </w:pPr>
      <w:bookmarkStart w:id="26" w:name="heading_26"/>
      <w:r>
        <w:rPr>
          <w:rFonts w:ascii="Arial" w:hAnsi="Arial" w:eastAsia="等线" w:cs="Arial"/>
          <w:b/>
          <w:sz w:val="30"/>
        </w:rPr>
        <w:t>7.1 Core Team</w:t>
      </w:r>
      <w:bookmarkEnd w:id="26"/>
    </w:p>
    <w:p w14:paraId="5B886F4F">
      <w:pPr>
        <w:spacing w:before="120" w:after="120" w:line="288" w:lineRule="auto"/>
        <w:ind w:left="0"/>
        <w:jc w:val="left"/>
      </w:pPr>
      <w:r>
        <w:rPr>
          <w:rFonts w:ascii="Arial" w:hAnsi="Arial" w:eastAsia="等线" w:cs="Arial"/>
          <w:sz w:val="22"/>
        </w:rPr>
        <w:t>The core team of CCR consists of blockchain technology experts, smart contract developers, fintech practitioners, and compliance consultants with rich cross-domain experience. Core members have participated in Ethereum 2.0 ecosystem development, large-scale DeFi project operation, and blockchain compliance landing. Some members are from top global technology companies and financial institutions, with profound technical accumulation, project operation capabilities, and industry resources, providing solid support for ecological construction.</w:t>
      </w:r>
    </w:p>
    <w:p w14:paraId="4A2B282D">
      <w:pPr>
        <w:spacing w:before="300" w:after="120" w:line="288" w:lineRule="auto"/>
        <w:ind w:left="0"/>
        <w:jc w:val="left"/>
        <w:outlineLvl w:val="2"/>
      </w:pPr>
      <w:bookmarkStart w:id="27" w:name="heading_27"/>
      <w:r>
        <w:rPr>
          <w:rFonts w:ascii="Arial" w:hAnsi="Arial" w:eastAsia="等线" w:cs="Arial"/>
          <w:b/>
          <w:sz w:val="30"/>
        </w:rPr>
        <w:t>7.2 Advisory Team</w:t>
      </w:r>
      <w:bookmarkEnd w:id="27"/>
    </w:p>
    <w:p w14:paraId="7822C519">
      <w:pPr>
        <w:spacing w:before="120" w:after="120" w:line="288" w:lineRule="auto"/>
        <w:ind w:left="0"/>
        <w:jc w:val="left"/>
      </w:pPr>
      <w:r>
        <w:rPr>
          <w:rFonts w:ascii="Arial" w:hAnsi="Arial" w:eastAsia="等线" w:cs="Arial"/>
          <w:sz w:val="22"/>
        </w:rPr>
        <w:t>The advisory team includes authoritative figures in blockchain technology, financial regulation, legal compliance, industry application, and other fields, including well-known blockchain scholars, former regulatory officials, international lawyers, and digital transformation experts of traditional enterprises. They provide professional guidance for the project's technological innovation, compliant development, and scenario landing, helping the ecosystem develop sustainably.</w:t>
      </w:r>
    </w:p>
    <w:p w14:paraId="4820091B">
      <w:pPr>
        <w:spacing w:before="320" w:after="120" w:line="288" w:lineRule="auto"/>
        <w:ind w:left="0"/>
        <w:jc w:val="left"/>
        <w:outlineLvl w:val="1"/>
      </w:pPr>
      <w:bookmarkStart w:id="28" w:name="heading_28"/>
      <w:r>
        <w:rPr>
          <w:rFonts w:ascii="Arial" w:hAnsi="Arial" w:eastAsia="等线" w:cs="Arial"/>
          <w:b/>
          <w:sz w:val="32"/>
        </w:rPr>
        <w:t>8. Conclusion</w:t>
      </w:r>
      <w:bookmarkEnd w:id="28"/>
    </w:p>
    <w:p w14:paraId="3AFE684A">
      <w:pPr>
        <w:spacing w:before="120" w:after="120" w:line="288" w:lineRule="auto"/>
        <w:ind w:left="0"/>
        <w:jc w:val="left"/>
      </w:pPr>
      <w:r>
        <w:rPr>
          <w:rFonts w:ascii="Arial" w:hAnsi="Arial" w:eastAsia="等线" w:cs="Arial"/>
          <w:sz w:val="22"/>
        </w:rPr>
        <w:t>The innovative development of blockchain and smart contract technologies is reshaping the trust system and collaboration model in the digital economy era, becoming the core driving force for the digital transformation of various industries. As a decentralized ecological infrastructure empowering this field, ChainCore (CCR) addresses existing industry pain points through underlying technological innovation, a sound economic model, and rich scenario landing, building a bridge for the coordinated development of technology, ecology, and compliance.</w:t>
      </w:r>
    </w:p>
    <w:p w14:paraId="3D5C843D">
      <w:pPr>
        <w:spacing w:before="120" w:after="120" w:line="288" w:lineRule="auto"/>
        <w:ind w:left="0"/>
        <w:jc w:val="left"/>
      </w:pPr>
      <w:r>
        <w:rPr>
          <w:rFonts w:ascii="Arial" w:hAnsi="Arial" w:eastAsia="等线" w:cs="Arial"/>
          <w:sz w:val="22"/>
        </w:rPr>
        <w:t>We firmly believe that with the continuous development of the CCR ecosystem, blockchain and smart contract technologies will break through the bottleneck of large-scale application, realizing the leap from "niche innovation" to "universal popularization", and bringing revolutionary changes to finance, supply chains, government affairs, digital content, and other fields. CCR will work with global ecological participants to jointly promote the innovation and landing of decentralized technologies and build a fairer, more efficient, and trusted digital economic future.</w:t>
      </w:r>
    </w:p>
    <w:p w14:paraId="13E6D00B">
      <w:pPr>
        <w:spacing w:before="320" w:after="120" w:line="288" w:lineRule="auto"/>
        <w:ind w:left="0"/>
        <w:jc w:val="left"/>
        <w:outlineLvl w:val="1"/>
      </w:pPr>
      <w:bookmarkStart w:id="29" w:name="heading_29"/>
      <w:r>
        <w:rPr>
          <w:rFonts w:ascii="Arial" w:hAnsi="Arial" w:eastAsia="等线" w:cs="Arial"/>
          <w:b/>
          <w:sz w:val="32"/>
        </w:rPr>
        <w:t>Disclaimer</w:t>
      </w:r>
      <w:bookmarkEnd w:id="29"/>
    </w:p>
    <w:p w14:paraId="48045098">
      <w:pPr>
        <w:spacing w:before="120" w:after="120" w:line="288" w:lineRule="auto"/>
        <w:ind w:left="0"/>
        <w:jc w:val="left"/>
      </w:pPr>
      <w:r>
        <w:rPr>
          <w:rFonts w:ascii="Arial" w:hAnsi="Arial" w:eastAsia="等线" w:cs="Arial"/>
          <w:sz w:val="22"/>
        </w:rPr>
        <w:t>This whitepaper only elaborates on the technical architecture, economic model, application scenarios, and development plans of the ChainCore (CCR) project and does not constitute any investment advice. The R&amp;D of blockchain and smart contract technologies is uncertain, and the project progress may be adjusted due to technical bottlenecks, changes in regulatory policies, fluctuations in the market environment, and other factors. Investing in CCR involves market risks, technical risks, compliance risks, etc. Investors should fully assess their own risk-bearing capacity and make investment decisions cautiously. All application scenarios in the ecosystem must comply with the laws and regulations of the region where they are located. The project party shall not be liable for any losses caused by non-compliant use.</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1A4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37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1"/>
      <w:numFmt w:val="decimal"/>
      <w:lvlText w:val="%1."/>
      <w:lvlJc w:val="left"/>
      <w:rPr>
        <w:color w:val="3370FF"/>
      </w:rPr>
    </w:lvl>
  </w:abstractNum>
  <w:abstractNum w:abstractNumId="3">
    <w:nsid w:val="9288B902"/>
    <w:multiLevelType w:val="singleLevel"/>
    <w:tmpl w:val="9288B902"/>
    <w:lvl w:ilvl="0" w:tentative="0">
      <w:start w:val="3"/>
      <w:numFmt w:val="decimal"/>
      <w:lvlText w:val="%1."/>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2"/>
      <w:numFmt w:val="decimal"/>
      <w:lvlText w:val="%1."/>
      <w:lvlJc w:val="left"/>
      <w:rPr>
        <w:color w:val="3370FF"/>
      </w:rPr>
    </w:lvl>
  </w:abstractNum>
  <w:abstractNum w:abstractNumId="7">
    <w:nsid w:val="BE923771"/>
    <w:multiLevelType w:val="singleLevel"/>
    <w:tmpl w:val="BE923771"/>
    <w:lvl w:ilvl="0" w:tentative="0">
      <w:start w:val="1"/>
      <w:numFmt w:val="decimal"/>
      <w:lvlText w:val="%1."/>
      <w:lvlJc w:val="left"/>
      <w:rPr>
        <w:color w:val="3370FF"/>
      </w:rPr>
    </w:lvl>
  </w:abstractNum>
  <w:abstractNum w:abstractNumId="8">
    <w:nsid w:val="BF205925"/>
    <w:multiLevelType w:val="singleLevel"/>
    <w:tmpl w:val="BF205925"/>
    <w:lvl w:ilvl="0" w:tentative="0">
      <w:start w:val="1"/>
      <w:numFmt w:val="decimal"/>
      <w:lvlText w:val="%1."/>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7F9FE59"/>
    <w:multiLevelType w:val="singleLevel"/>
    <w:tmpl w:val="D7F9FE59"/>
    <w:lvl w:ilvl="0" w:tentative="0">
      <w:start w:val="0"/>
      <w:numFmt w:val="bullet"/>
      <w:lvlText w:val="•"/>
      <w:lvlJc w:val="left"/>
      <w:rPr>
        <w:color w:val="3370FF"/>
      </w:rPr>
    </w:lvl>
  </w:abstractNum>
  <w:abstractNum w:abstractNumId="12">
    <w:nsid w:val="DCBA6B53"/>
    <w:multiLevelType w:val="singleLevel"/>
    <w:tmpl w:val="DCBA6B53"/>
    <w:lvl w:ilvl="0" w:tentative="0">
      <w:start w:val="0"/>
      <w:numFmt w:val="bullet"/>
      <w:lvlText w:val="•"/>
      <w:lvlJc w:val="left"/>
      <w:rPr>
        <w:color w:val="3370FF"/>
      </w:rPr>
    </w:lvl>
  </w:abstractNum>
  <w:abstractNum w:abstractNumId="13">
    <w:nsid w:val="E093A4B0"/>
    <w:multiLevelType w:val="singleLevel"/>
    <w:tmpl w:val="E093A4B0"/>
    <w:lvl w:ilvl="0" w:tentative="0">
      <w:start w:val="0"/>
      <w:numFmt w:val="bullet"/>
      <w:lvlText w:val="•"/>
      <w:lvlJc w:val="left"/>
      <w:rPr>
        <w:color w:val="3370FF"/>
      </w:rPr>
    </w:lvl>
  </w:abstractNum>
  <w:abstractNum w:abstractNumId="14">
    <w:nsid w:val="F4B5D9F5"/>
    <w:multiLevelType w:val="singleLevel"/>
    <w:tmpl w:val="F4B5D9F5"/>
    <w:lvl w:ilvl="0" w:tentative="0">
      <w:start w:val="0"/>
      <w:numFmt w:val="bullet"/>
      <w:lvlText w:val="•"/>
      <w:lvlJc w:val="left"/>
      <w:rPr>
        <w:color w:val="3370FF"/>
      </w:rPr>
    </w:lvl>
  </w:abstractNum>
  <w:abstractNum w:abstractNumId="15">
    <w:nsid w:val="F7735DC9"/>
    <w:multiLevelType w:val="singleLevel"/>
    <w:tmpl w:val="F7735DC9"/>
    <w:lvl w:ilvl="0" w:tentative="0">
      <w:start w:val="0"/>
      <w:numFmt w:val="bullet"/>
      <w:lvlText w:val="•"/>
      <w:lvlJc w:val="left"/>
      <w:rPr>
        <w:color w:val="3370FF"/>
      </w:rPr>
    </w:lvl>
  </w:abstractNum>
  <w:abstractNum w:abstractNumId="16">
    <w:nsid w:val="0053208E"/>
    <w:multiLevelType w:val="singleLevel"/>
    <w:tmpl w:val="0053208E"/>
    <w:lvl w:ilvl="0" w:tentative="0">
      <w:start w:val="0"/>
      <w:numFmt w:val="bullet"/>
      <w:lvlText w:val="•"/>
      <w:lvlJc w:val="left"/>
      <w:rPr>
        <w:color w:val="3370FF"/>
      </w:rPr>
    </w:lvl>
  </w:abstractNum>
  <w:abstractNum w:abstractNumId="17">
    <w:nsid w:val="0248C179"/>
    <w:multiLevelType w:val="singleLevel"/>
    <w:tmpl w:val="0248C179"/>
    <w:lvl w:ilvl="0" w:tentative="0">
      <w:start w:val="0"/>
      <w:numFmt w:val="bullet"/>
      <w:lvlText w:val="•"/>
      <w:lvlJc w:val="left"/>
      <w:rPr>
        <w:color w:val="3370FF"/>
      </w:rPr>
    </w:lvl>
  </w:abstractNum>
  <w:abstractNum w:abstractNumId="18">
    <w:nsid w:val="03D62ECE"/>
    <w:multiLevelType w:val="singleLevel"/>
    <w:tmpl w:val="03D62ECE"/>
    <w:lvl w:ilvl="0" w:tentative="0">
      <w:start w:val="3"/>
      <w:numFmt w:val="decimal"/>
      <w:lvlText w:val="%1."/>
      <w:lvlJc w:val="left"/>
      <w:rPr>
        <w:color w:val="3370FF"/>
      </w:rPr>
    </w:lvl>
  </w:abstractNum>
  <w:abstractNum w:abstractNumId="19">
    <w:nsid w:val="0E640482"/>
    <w:multiLevelType w:val="singleLevel"/>
    <w:tmpl w:val="0E640482"/>
    <w:lvl w:ilvl="0" w:tentative="0">
      <w:start w:val="3"/>
      <w:numFmt w:val="decimal"/>
      <w:lvlText w:val="%1."/>
      <w:lvlJc w:val="left"/>
      <w:rPr>
        <w:color w:val="3370FF"/>
      </w:rPr>
    </w:lvl>
  </w:abstractNum>
  <w:abstractNum w:abstractNumId="20">
    <w:nsid w:val="243FCF68"/>
    <w:multiLevelType w:val="singleLevel"/>
    <w:tmpl w:val="243FCF68"/>
    <w:lvl w:ilvl="0" w:tentative="0">
      <w:start w:val="0"/>
      <w:numFmt w:val="bullet"/>
      <w:lvlText w:val="•"/>
      <w:lvlJc w:val="left"/>
      <w:rPr>
        <w:color w:val="3370FF"/>
      </w:rPr>
    </w:lvl>
  </w:abstractNum>
  <w:abstractNum w:abstractNumId="21">
    <w:nsid w:val="2470EC97"/>
    <w:multiLevelType w:val="singleLevel"/>
    <w:tmpl w:val="2470EC97"/>
    <w:lvl w:ilvl="0" w:tentative="0">
      <w:start w:val="0"/>
      <w:numFmt w:val="bullet"/>
      <w:lvlText w:val="•"/>
      <w:lvlJc w:val="left"/>
      <w:rPr>
        <w:color w:val="3370FF"/>
      </w:rPr>
    </w:lvl>
  </w:abstractNum>
  <w:abstractNum w:abstractNumId="22">
    <w:nsid w:val="25B654F3"/>
    <w:multiLevelType w:val="singleLevel"/>
    <w:tmpl w:val="25B654F3"/>
    <w:lvl w:ilvl="0" w:tentative="0">
      <w:start w:val="0"/>
      <w:numFmt w:val="bullet"/>
      <w:lvlText w:val="•"/>
      <w:lvlJc w:val="left"/>
      <w:rPr>
        <w:color w:val="3370FF"/>
      </w:rPr>
    </w:lvl>
  </w:abstractNum>
  <w:abstractNum w:abstractNumId="23">
    <w:nsid w:val="2A8F537B"/>
    <w:multiLevelType w:val="singleLevel"/>
    <w:tmpl w:val="2A8F537B"/>
    <w:lvl w:ilvl="0" w:tentative="0">
      <w:start w:val="2"/>
      <w:numFmt w:val="decimal"/>
      <w:lvlText w:val="%1."/>
      <w:lvlJc w:val="left"/>
      <w:rPr>
        <w:color w:val="3370FF"/>
      </w:rPr>
    </w:lvl>
  </w:abstractNum>
  <w:abstractNum w:abstractNumId="24">
    <w:nsid w:val="39A0D9AC"/>
    <w:multiLevelType w:val="singleLevel"/>
    <w:tmpl w:val="39A0D9AC"/>
    <w:lvl w:ilvl="0" w:tentative="0">
      <w:start w:val="0"/>
      <w:numFmt w:val="bullet"/>
      <w:lvlText w:val="•"/>
      <w:lvlJc w:val="left"/>
      <w:rPr>
        <w:color w:val="3370FF"/>
      </w:rPr>
    </w:lvl>
  </w:abstractNum>
  <w:abstractNum w:abstractNumId="25">
    <w:nsid w:val="46A08BB8"/>
    <w:multiLevelType w:val="singleLevel"/>
    <w:tmpl w:val="46A08BB8"/>
    <w:lvl w:ilvl="0" w:tentative="0">
      <w:start w:val="4"/>
      <w:numFmt w:val="decimal"/>
      <w:lvlText w:val="%1."/>
      <w:lvlJc w:val="left"/>
      <w:rPr>
        <w:color w:val="3370FF"/>
      </w:rPr>
    </w:lvl>
  </w:abstractNum>
  <w:abstractNum w:abstractNumId="26">
    <w:nsid w:val="4C1BAE26"/>
    <w:multiLevelType w:val="singleLevel"/>
    <w:tmpl w:val="4C1BAE26"/>
    <w:lvl w:ilvl="0" w:tentative="0">
      <w:start w:val="1"/>
      <w:numFmt w:val="decimal"/>
      <w:lvlText w:val="%1."/>
      <w:lvlJc w:val="left"/>
      <w:rPr>
        <w:color w:val="3370FF"/>
      </w:rPr>
    </w:lvl>
  </w:abstractNum>
  <w:abstractNum w:abstractNumId="27">
    <w:nsid w:val="4D4DC07F"/>
    <w:multiLevelType w:val="singleLevel"/>
    <w:tmpl w:val="4D4DC07F"/>
    <w:lvl w:ilvl="0" w:tentative="0">
      <w:start w:val="0"/>
      <w:numFmt w:val="bullet"/>
      <w:lvlText w:val="•"/>
      <w:lvlJc w:val="left"/>
      <w:rPr>
        <w:color w:val="3370FF"/>
      </w:rPr>
    </w:lvl>
  </w:abstractNum>
  <w:abstractNum w:abstractNumId="28">
    <w:nsid w:val="4D94DA66"/>
    <w:multiLevelType w:val="singleLevel"/>
    <w:tmpl w:val="4D94DA66"/>
    <w:lvl w:ilvl="0" w:tentative="0">
      <w:start w:val="0"/>
      <w:numFmt w:val="bullet"/>
      <w:lvlText w:val="•"/>
      <w:lvlJc w:val="left"/>
      <w:rPr>
        <w:color w:val="3370FF"/>
      </w:rPr>
    </w:lvl>
  </w:abstractNum>
  <w:abstractNum w:abstractNumId="29">
    <w:nsid w:val="58765686"/>
    <w:multiLevelType w:val="singleLevel"/>
    <w:tmpl w:val="58765686"/>
    <w:lvl w:ilvl="0" w:tentative="0">
      <w:start w:val="0"/>
      <w:numFmt w:val="bullet"/>
      <w:lvlText w:val="•"/>
      <w:lvlJc w:val="left"/>
      <w:rPr>
        <w:color w:val="3370FF"/>
      </w:rPr>
    </w:lvl>
  </w:abstractNum>
  <w:abstractNum w:abstractNumId="30">
    <w:nsid w:val="59ADCABA"/>
    <w:multiLevelType w:val="singleLevel"/>
    <w:tmpl w:val="59ADCABA"/>
    <w:lvl w:ilvl="0" w:tentative="0">
      <w:start w:val="0"/>
      <w:numFmt w:val="bullet"/>
      <w:lvlText w:val="•"/>
      <w:lvlJc w:val="left"/>
      <w:rPr>
        <w:color w:val="3370FF"/>
      </w:rPr>
    </w:lvl>
  </w:abstractNum>
  <w:abstractNum w:abstractNumId="31">
    <w:nsid w:val="5A241D34"/>
    <w:multiLevelType w:val="singleLevel"/>
    <w:tmpl w:val="5A241D34"/>
    <w:lvl w:ilvl="0" w:tentative="0">
      <w:start w:val="3"/>
      <w:numFmt w:val="decimal"/>
      <w:lvlText w:val="%1."/>
      <w:lvlJc w:val="left"/>
      <w:rPr>
        <w:color w:val="3370FF"/>
      </w:rPr>
    </w:lvl>
  </w:abstractNum>
  <w:abstractNum w:abstractNumId="32">
    <w:nsid w:val="60382F6E"/>
    <w:multiLevelType w:val="singleLevel"/>
    <w:tmpl w:val="60382F6E"/>
    <w:lvl w:ilvl="0" w:tentative="0">
      <w:start w:val="2"/>
      <w:numFmt w:val="decimal"/>
      <w:lvlText w:val="%1."/>
      <w:lvlJc w:val="left"/>
      <w:rPr>
        <w:color w:val="3370FF"/>
      </w:rPr>
    </w:lvl>
  </w:abstractNum>
  <w:abstractNum w:abstractNumId="33">
    <w:nsid w:val="629F7852"/>
    <w:multiLevelType w:val="singleLevel"/>
    <w:tmpl w:val="629F7852"/>
    <w:lvl w:ilvl="0" w:tentative="0">
      <w:start w:val="2"/>
      <w:numFmt w:val="decimal"/>
      <w:lvlText w:val="%1."/>
      <w:lvlJc w:val="left"/>
      <w:rPr>
        <w:color w:val="3370FF"/>
      </w:rPr>
    </w:lvl>
  </w:abstractNum>
  <w:abstractNum w:abstractNumId="34">
    <w:nsid w:val="72183CF9"/>
    <w:multiLevelType w:val="singleLevel"/>
    <w:tmpl w:val="72183CF9"/>
    <w:lvl w:ilvl="0" w:tentative="0">
      <w:start w:val="0"/>
      <w:numFmt w:val="bullet"/>
      <w:lvlText w:val="•"/>
      <w:lvlJc w:val="left"/>
      <w:rPr>
        <w:color w:val="3370FF"/>
      </w:rPr>
    </w:lvl>
  </w:abstractNum>
  <w:abstractNum w:abstractNumId="35">
    <w:nsid w:val="77ECEA79"/>
    <w:multiLevelType w:val="singleLevel"/>
    <w:tmpl w:val="77ECEA79"/>
    <w:lvl w:ilvl="0" w:tentative="0">
      <w:start w:val="0"/>
      <w:numFmt w:val="bullet"/>
      <w:lvlText w:val="•"/>
      <w:lvlJc w:val="left"/>
      <w:rPr>
        <w:color w:val="3370FF"/>
      </w:rPr>
    </w:lvl>
  </w:abstractNum>
  <w:abstractNum w:abstractNumId="36">
    <w:nsid w:val="7C246926"/>
    <w:multiLevelType w:val="singleLevel"/>
    <w:tmpl w:val="7C246926"/>
    <w:lvl w:ilvl="0" w:tentative="0">
      <w:start w:val="0"/>
      <w:numFmt w:val="bullet"/>
      <w:lvlText w:val="•"/>
      <w:lvlJc w:val="left"/>
      <w:rPr>
        <w:color w:val="3370FF"/>
      </w:rPr>
    </w:lvl>
  </w:abstractNum>
  <w:abstractNum w:abstractNumId="37">
    <w:nsid w:val="7DEC2089"/>
    <w:multiLevelType w:val="singleLevel"/>
    <w:tmpl w:val="7DEC2089"/>
    <w:lvl w:ilvl="0" w:tentative="0">
      <w:start w:val="0"/>
      <w:numFmt w:val="bullet"/>
      <w:lvlText w:val="•"/>
      <w:lvlJc w:val="left"/>
      <w:rPr>
        <w:color w:val="3370FF"/>
      </w:rPr>
    </w:lvl>
  </w:abstractNum>
  <w:num w:numId="1">
    <w:abstractNumId w:val="16"/>
  </w:num>
  <w:num w:numId="2">
    <w:abstractNumId w:val="10"/>
  </w:num>
  <w:num w:numId="3">
    <w:abstractNumId w:val="30"/>
  </w:num>
  <w:num w:numId="4">
    <w:abstractNumId w:val="8"/>
  </w:num>
  <w:num w:numId="5">
    <w:abstractNumId w:val="6"/>
  </w:num>
  <w:num w:numId="6">
    <w:abstractNumId w:val="18"/>
  </w:num>
  <w:num w:numId="7">
    <w:abstractNumId w:val="22"/>
  </w:num>
  <w:num w:numId="8">
    <w:abstractNumId w:val="34"/>
  </w:num>
  <w:num w:numId="9">
    <w:abstractNumId w:val="17"/>
  </w:num>
  <w:num w:numId="10">
    <w:abstractNumId w:val="2"/>
  </w:num>
  <w:num w:numId="11">
    <w:abstractNumId w:val="23"/>
  </w:num>
  <w:num w:numId="12">
    <w:abstractNumId w:val="31"/>
  </w:num>
  <w:num w:numId="13">
    <w:abstractNumId w:val="9"/>
  </w:num>
  <w:num w:numId="14">
    <w:abstractNumId w:val="27"/>
  </w:num>
  <w:num w:numId="15">
    <w:abstractNumId w:val="14"/>
  </w:num>
  <w:num w:numId="16">
    <w:abstractNumId w:val="21"/>
  </w:num>
  <w:num w:numId="17">
    <w:abstractNumId w:val="12"/>
  </w:num>
  <w:num w:numId="18">
    <w:abstractNumId w:val="11"/>
  </w:num>
  <w:num w:numId="19">
    <w:abstractNumId w:val="4"/>
  </w:num>
  <w:num w:numId="20">
    <w:abstractNumId w:val="26"/>
  </w:num>
  <w:num w:numId="21">
    <w:abstractNumId w:val="32"/>
  </w:num>
  <w:num w:numId="22">
    <w:abstractNumId w:val="19"/>
  </w:num>
  <w:num w:numId="23">
    <w:abstractNumId w:val="25"/>
  </w:num>
  <w:num w:numId="24">
    <w:abstractNumId w:val="5"/>
  </w:num>
  <w:num w:numId="25">
    <w:abstractNumId w:val="36"/>
  </w:num>
  <w:num w:numId="26">
    <w:abstractNumId w:val="35"/>
  </w:num>
  <w:num w:numId="27">
    <w:abstractNumId w:val="7"/>
  </w:num>
  <w:num w:numId="28">
    <w:abstractNumId w:val="33"/>
  </w:num>
  <w:num w:numId="29">
    <w:abstractNumId w:val="3"/>
  </w:num>
  <w:num w:numId="30">
    <w:abstractNumId w:val="24"/>
  </w:num>
  <w:num w:numId="31">
    <w:abstractNumId w:val="1"/>
  </w:num>
  <w:num w:numId="32">
    <w:abstractNumId w:val="29"/>
  </w:num>
  <w:num w:numId="33">
    <w:abstractNumId w:val="37"/>
  </w:num>
  <w:num w:numId="34">
    <w:abstractNumId w:val="0"/>
  </w:num>
  <w:num w:numId="35">
    <w:abstractNumId w:val="20"/>
  </w:num>
  <w:num w:numId="36">
    <w:abstractNumId w:val="28"/>
  </w:num>
  <w:num w:numId="37">
    <w:abstractNumId w:val="1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2DEA6A50"/>
    <w:rsid w:val="53590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3374</Words>
  <Characters>22478</Characters>
  <TotalTime>0</TotalTime>
  <ScaleCrop>false</ScaleCrop>
  <LinksUpToDate>false</LinksUpToDate>
  <CharactersWithSpaces>25739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2026-01-08T02:30:00Z</dcterms:created>
  <dc:creator>Apache POI</dc:creator>
  <cp:lastModifiedBy>不一样的烟火</cp:lastModifiedBy>
  <dcterms:modified xsi:type="dcterms:W3CDTF">2026-01-21T01:51:15Z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eyJoZGlkIjoiMTI5ZjRlZGEwMTdkYTI5NDdmNDNhMTVmMGVhNjA2ODMiLCJ1c2VySWQiOiIxNTUyODMwMzQ1In0=</vt:lpwstr>
  </property>
  <property fmtid="{D5CDD505-2E9C-101B-9397-08002B2CF9AE}" pid="3" name="KSOProductBuildVer">
    <vt:lpwstr>2052-12.1.0.24657</vt:lpwstr>
  </property>
  <property fmtid="{D5CDD505-2E9C-101B-9397-08002B2CF9AE}" pid="4" name="ICV">
    <vt:lpwstr>CB8AF3252BDC4283A94716F67B4E9B7F_12</vt:lpwstr>
  </property>
</Properties>
</file>